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7FA47" w14:textId="77777777" w:rsidR="007E34A8" w:rsidRPr="00316157" w:rsidRDefault="007E34A8" w:rsidP="00696651">
      <w:pPr>
        <w:spacing w:before="240"/>
        <w:jc w:val="center"/>
        <w:rPr>
          <w:b/>
          <w:sz w:val="22"/>
          <w:szCs w:val="22"/>
        </w:rPr>
      </w:pPr>
      <w:r w:rsidRPr="00316157">
        <w:rPr>
          <w:b/>
          <w:sz w:val="22"/>
          <w:szCs w:val="22"/>
        </w:rPr>
        <w:t>BỘ GIÁO DỤC VÀ ĐÀO TẠO</w:t>
      </w:r>
      <w:r w:rsidR="003A04DD">
        <w:rPr>
          <w:b/>
          <w:sz w:val="22"/>
          <w:szCs w:val="22"/>
        </w:rPr>
        <w:tab/>
      </w:r>
      <w:r w:rsidR="003A04DD">
        <w:rPr>
          <w:b/>
          <w:sz w:val="22"/>
          <w:szCs w:val="22"/>
        </w:rPr>
        <w:tab/>
        <w:t xml:space="preserve">                BỘ Y TẾ</w:t>
      </w:r>
    </w:p>
    <w:p w14:paraId="0F1944EC" w14:textId="77777777" w:rsidR="00221CFF" w:rsidRPr="00221CFF" w:rsidRDefault="00221CFF" w:rsidP="00221CFF">
      <w:pPr>
        <w:tabs>
          <w:tab w:val="left" w:pos="851"/>
        </w:tabs>
        <w:jc w:val="center"/>
        <w:rPr>
          <w:b/>
          <w:color w:val="000000" w:themeColor="text1"/>
          <w:sz w:val="22"/>
          <w:szCs w:val="28"/>
        </w:rPr>
      </w:pPr>
      <w:r w:rsidRPr="00221CFF">
        <w:rPr>
          <w:b/>
          <w:color w:val="000000" w:themeColor="text1"/>
          <w:sz w:val="22"/>
          <w:szCs w:val="28"/>
        </w:rPr>
        <w:t>VIỆN DINH DƯỠNG</w:t>
      </w:r>
    </w:p>
    <w:p w14:paraId="5775BE04" w14:textId="77777777" w:rsidR="00221CFF" w:rsidRPr="000E6390" w:rsidRDefault="00221CFF" w:rsidP="00221CFF">
      <w:pPr>
        <w:tabs>
          <w:tab w:val="left" w:pos="851"/>
        </w:tabs>
        <w:jc w:val="center"/>
        <w:rPr>
          <w:i/>
          <w:color w:val="000000" w:themeColor="text1"/>
          <w:sz w:val="26"/>
          <w:szCs w:val="26"/>
        </w:rPr>
      </w:pPr>
      <w:r w:rsidRPr="000E6390">
        <w:rPr>
          <w:noProof/>
          <w:color w:val="000000" w:themeColor="text1"/>
          <w:sz w:val="26"/>
          <w:szCs w:val="26"/>
        </w:rPr>
        <w:drawing>
          <wp:inline distT="0" distB="0" distL="0" distR="0" wp14:anchorId="2B67579F" wp14:editId="36994BE6">
            <wp:extent cx="542925" cy="742950"/>
            <wp:effectExtent l="0" t="0" r="9525" b="0"/>
            <wp:docPr id="67" name="Picture 3" descr="Description: C:\Users\Win7\Downloads\v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Win7\Downloads\vd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742950"/>
                    </a:xfrm>
                    <a:prstGeom prst="rect">
                      <a:avLst/>
                    </a:prstGeom>
                    <a:noFill/>
                    <a:ln>
                      <a:noFill/>
                    </a:ln>
                  </pic:spPr>
                </pic:pic>
              </a:graphicData>
            </a:graphic>
          </wp:inline>
        </w:drawing>
      </w:r>
    </w:p>
    <w:p w14:paraId="5B0786B4" w14:textId="77777777" w:rsidR="00221CFF" w:rsidRPr="000E6390" w:rsidRDefault="00221CFF" w:rsidP="00221CFF">
      <w:pPr>
        <w:tabs>
          <w:tab w:val="left" w:pos="851"/>
        </w:tabs>
        <w:jc w:val="center"/>
        <w:rPr>
          <w:b/>
          <w:color w:val="000000" w:themeColor="text1"/>
          <w:sz w:val="26"/>
          <w:szCs w:val="26"/>
        </w:rPr>
      </w:pPr>
    </w:p>
    <w:p w14:paraId="4AC78CC5" w14:textId="77777777" w:rsidR="00221CFF" w:rsidRPr="000E6390" w:rsidRDefault="00221CFF" w:rsidP="00221CFF">
      <w:pPr>
        <w:tabs>
          <w:tab w:val="left" w:pos="851"/>
        </w:tabs>
        <w:jc w:val="center"/>
        <w:rPr>
          <w:b/>
          <w:color w:val="000000" w:themeColor="text1"/>
          <w:sz w:val="26"/>
          <w:szCs w:val="26"/>
        </w:rPr>
      </w:pPr>
    </w:p>
    <w:p w14:paraId="64703230" w14:textId="77777777" w:rsidR="00221CFF" w:rsidRPr="000E6390" w:rsidRDefault="00221CFF" w:rsidP="00221CFF">
      <w:pPr>
        <w:tabs>
          <w:tab w:val="left" w:pos="851"/>
        </w:tabs>
        <w:jc w:val="center"/>
        <w:rPr>
          <w:b/>
          <w:color w:val="000000" w:themeColor="text1"/>
          <w:sz w:val="26"/>
          <w:szCs w:val="26"/>
        </w:rPr>
      </w:pPr>
    </w:p>
    <w:p w14:paraId="3F42465C" w14:textId="77777777" w:rsidR="00221CFF" w:rsidRPr="006D257D" w:rsidRDefault="00221CFF" w:rsidP="00221CFF">
      <w:pPr>
        <w:tabs>
          <w:tab w:val="left" w:pos="851"/>
        </w:tabs>
        <w:jc w:val="center"/>
        <w:rPr>
          <w:color w:val="000000" w:themeColor="text1"/>
        </w:rPr>
      </w:pPr>
      <w:r w:rsidRPr="006D257D">
        <w:rPr>
          <w:b/>
          <w:color w:val="000000" w:themeColor="text1"/>
        </w:rPr>
        <w:t>PHAN TIẾN HOÀNG</w:t>
      </w:r>
    </w:p>
    <w:p w14:paraId="6C9218FA" w14:textId="77777777" w:rsidR="00221CFF" w:rsidRPr="00221CFF" w:rsidRDefault="00221CFF" w:rsidP="00221CFF">
      <w:pPr>
        <w:tabs>
          <w:tab w:val="left" w:pos="851"/>
        </w:tabs>
        <w:rPr>
          <w:color w:val="000000" w:themeColor="text1"/>
          <w:sz w:val="18"/>
          <w:szCs w:val="32"/>
        </w:rPr>
      </w:pPr>
      <w:r w:rsidRPr="00221CFF">
        <w:rPr>
          <w:color w:val="000000" w:themeColor="text1"/>
          <w:sz w:val="18"/>
          <w:szCs w:val="32"/>
        </w:rPr>
        <w:t xml:space="preserve"> </w:t>
      </w:r>
    </w:p>
    <w:p w14:paraId="3BD51BB1" w14:textId="77777777" w:rsidR="00221CFF" w:rsidRPr="00221CFF" w:rsidRDefault="00221CFF" w:rsidP="00221CFF">
      <w:pPr>
        <w:tabs>
          <w:tab w:val="left" w:pos="851"/>
        </w:tabs>
        <w:rPr>
          <w:color w:val="000000" w:themeColor="text1"/>
          <w:sz w:val="12"/>
          <w:szCs w:val="26"/>
        </w:rPr>
      </w:pPr>
    </w:p>
    <w:p w14:paraId="79942C4A" w14:textId="77777777" w:rsidR="00221CFF" w:rsidRPr="00221CFF" w:rsidRDefault="00221CFF" w:rsidP="00221CFF">
      <w:pPr>
        <w:tabs>
          <w:tab w:val="left" w:pos="851"/>
        </w:tabs>
        <w:rPr>
          <w:b/>
          <w:color w:val="000000" w:themeColor="text1"/>
          <w:sz w:val="12"/>
          <w:szCs w:val="26"/>
        </w:rPr>
      </w:pPr>
    </w:p>
    <w:p w14:paraId="44740EAA" w14:textId="77777777" w:rsidR="00221CFF" w:rsidRPr="006D257D" w:rsidRDefault="00221CFF" w:rsidP="00EA7AB0">
      <w:pPr>
        <w:tabs>
          <w:tab w:val="left" w:pos="851"/>
        </w:tabs>
        <w:spacing w:line="300" w:lineRule="exact"/>
        <w:jc w:val="center"/>
        <w:rPr>
          <w:b/>
          <w:color w:val="000000" w:themeColor="text1"/>
          <w:sz w:val="26"/>
          <w:szCs w:val="26"/>
        </w:rPr>
      </w:pPr>
      <w:r w:rsidRPr="006D257D">
        <w:rPr>
          <w:b/>
          <w:color w:val="000000" w:themeColor="text1"/>
          <w:sz w:val="26"/>
          <w:szCs w:val="26"/>
        </w:rPr>
        <w:t xml:space="preserve">ĐÁNH GIÁ TÌNH TRẠNG DINH DƯỠNG </w:t>
      </w:r>
    </w:p>
    <w:p w14:paraId="33636C4C" w14:textId="77777777" w:rsidR="00221CFF" w:rsidRPr="006D257D" w:rsidRDefault="00221CFF" w:rsidP="00EA7AB0">
      <w:pPr>
        <w:tabs>
          <w:tab w:val="left" w:pos="851"/>
        </w:tabs>
        <w:spacing w:line="300" w:lineRule="exact"/>
        <w:jc w:val="center"/>
        <w:rPr>
          <w:b/>
          <w:color w:val="000000" w:themeColor="text1"/>
          <w:sz w:val="26"/>
          <w:szCs w:val="26"/>
        </w:rPr>
      </w:pPr>
      <w:r w:rsidRPr="006D257D">
        <w:rPr>
          <w:b/>
          <w:color w:val="000000" w:themeColor="text1"/>
          <w:sz w:val="26"/>
          <w:szCs w:val="26"/>
        </w:rPr>
        <w:t xml:space="preserve">VÀ KẾT QUẢ BỔ SUNG VI CHẤT SẮT, KẼM </w:t>
      </w:r>
    </w:p>
    <w:p w14:paraId="083E5F9A" w14:textId="77777777" w:rsidR="00221CFF" w:rsidRPr="006D257D" w:rsidRDefault="00221CFF" w:rsidP="00EA7AB0">
      <w:pPr>
        <w:tabs>
          <w:tab w:val="left" w:pos="851"/>
        </w:tabs>
        <w:spacing w:line="300" w:lineRule="exact"/>
        <w:jc w:val="center"/>
        <w:rPr>
          <w:b/>
          <w:color w:val="000000" w:themeColor="text1"/>
          <w:sz w:val="26"/>
          <w:szCs w:val="26"/>
        </w:rPr>
      </w:pPr>
      <w:r w:rsidRPr="006D257D">
        <w:rPr>
          <w:b/>
          <w:color w:val="000000" w:themeColor="text1"/>
          <w:sz w:val="26"/>
          <w:szCs w:val="26"/>
        </w:rPr>
        <w:t xml:space="preserve">Ở TRẺ 1 – 3 TUỔI SUY DINH DƯỠNG THẤP CÒI </w:t>
      </w:r>
    </w:p>
    <w:p w14:paraId="5BE64F11" w14:textId="77777777" w:rsidR="00221CFF" w:rsidRPr="006D257D" w:rsidRDefault="00221CFF" w:rsidP="00EA7AB0">
      <w:pPr>
        <w:tabs>
          <w:tab w:val="left" w:pos="851"/>
        </w:tabs>
        <w:spacing w:line="300" w:lineRule="exact"/>
        <w:jc w:val="center"/>
        <w:rPr>
          <w:b/>
          <w:bCs/>
          <w:color w:val="000000" w:themeColor="text1"/>
          <w:sz w:val="26"/>
          <w:szCs w:val="26"/>
        </w:rPr>
      </w:pPr>
      <w:r w:rsidRPr="006D257D">
        <w:rPr>
          <w:b/>
          <w:color w:val="000000" w:themeColor="text1"/>
          <w:sz w:val="26"/>
          <w:szCs w:val="26"/>
        </w:rPr>
        <w:t xml:space="preserve">TẠI MỘT SỐ TỈNH PHÍA BẮC (2017 – 2020) </w:t>
      </w:r>
    </w:p>
    <w:p w14:paraId="2D741AE4" w14:textId="77777777" w:rsidR="007E34A8" w:rsidRPr="00316157" w:rsidRDefault="007E34A8" w:rsidP="007E34A8">
      <w:pPr>
        <w:jc w:val="center"/>
        <w:rPr>
          <w:sz w:val="22"/>
          <w:szCs w:val="22"/>
        </w:rPr>
      </w:pPr>
    </w:p>
    <w:p w14:paraId="5A385CE4" w14:textId="77777777" w:rsidR="007E34A8" w:rsidRPr="00316157" w:rsidRDefault="007E34A8" w:rsidP="007E34A8">
      <w:pPr>
        <w:rPr>
          <w:sz w:val="22"/>
          <w:szCs w:val="22"/>
        </w:rPr>
      </w:pPr>
    </w:p>
    <w:p w14:paraId="3F507C48" w14:textId="77777777" w:rsidR="007E34A8" w:rsidRDefault="007E34A8" w:rsidP="007E34A8">
      <w:pPr>
        <w:rPr>
          <w:sz w:val="22"/>
          <w:szCs w:val="22"/>
        </w:rPr>
      </w:pPr>
    </w:p>
    <w:p w14:paraId="0DBCADC0" w14:textId="77777777" w:rsidR="00EA7AB0" w:rsidRPr="00316157" w:rsidRDefault="00EA7AB0" w:rsidP="007E34A8">
      <w:pPr>
        <w:rPr>
          <w:sz w:val="22"/>
          <w:szCs w:val="22"/>
        </w:rPr>
      </w:pPr>
    </w:p>
    <w:p w14:paraId="1A625F31" w14:textId="77777777" w:rsidR="002966AE" w:rsidRPr="007353F2" w:rsidRDefault="002966AE" w:rsidP="00D366EF">
      <w:pPr>
        <w:jc w:val="center"/>
        <w:rPr>
          <w:b/>
          <w:bCs/>
          <w:sz w:val="22"/>
          <w:szCs w:val="22"/>
          <w:lang w:val="vi-VN"/>
        </w:rPr>
      </w:pPr>
      <w:r w:rsidRPr="007353F2">
        <w:rPr>
          <w:b/>
          <w:bCs/>
          <w:sz w:val="22"/>
          <w:szCs w:val="22"/>
          <w:lang w:val="de-DE"/>
        </w:rPr>
        <w:t>Chuyên ngành: Dinh dưỡng</w:t>
      </w:r>
    </w:p>
    <w:p w14:paraId="4AEA965E" w14:textId="77777777" w:rsidR="002966AE" w:rsidRPr="00316157" w:rsidRDefault="002966AE" w:rsidP="00D366EF">
      <w:pPr>
        <w:jc w:val="center"/>
        <w:rPr>
          <w:sz w:val="22"/>
          <w:szCs w:val="22"/>
          <w:lang w:val="de-DE"/>
        </w:rPr>
      </w:pPr>
      <w:r w:rsidRPr="007353F2">
        <w:rPr>
          <w:b/>
          <w:bCs/>
          <w:sz w:val="22"/>
          <w:szCs w:val="22"/>
          <w:lang w:val="de-DE"/>
        </w:rPr>
        <w:t>Mã số:</w:t>
      </w:r>
      <w:r w:rsidRPr="00316157">
        <w:rPr>
          <w:sz w:val="22"/>
          <w:szCs w:val="22"/>
          <w:lang w:val="de-DE"/>
        </w:rPr>
        <w:t xml:space="preserve"> </w:t>
      </w:r>
      <w:r w:rsidR="00C94847" w:rsidRPr="00C94847">
        <w:rPr>
          <w:sz w:val="22"/>
          <w:szCs w:val="22"/>
          <w:lang w:val="de-DE"/>
        </w:rPr>
        <w:t>9720401</w:t>
      </w:r>
    </w:p>
    <w:p w14:paraId="24977D80" w14:textId="77777777" w:rsidR="007E34A8" w:rsidRPr="00316157" w:rsidRDefault="007E34A8" w:rsidP="00D366EF">
      <w:pPr>
        <w:jc w:val="center"/>
        <w:rPr>
          <w:b/>
          <w:sz w:val="22"/>
          <w:szCs w:val="22"/>
        </w:rPr>
      </w:pPr>
    </w:p>
    <w:p w14:paraId="62B659CF" w14:textId="77777777" w:rsidR="007E34A8" w:rsidRPr="00316157" w:rsidRDefault="007E34A8" w:rsidP="007E34A8">
      <w:pPr>
        <w:rPr>
          <w:b/>
          <w:sz w:val="22"/>
          <w:szCs w:val="22"/>
        </w:rPr>
      </w:pPr>
    </w:p>
    <w:p w14:paraId="08A050E4" w14:textId="77777777" w:rsidR="007E34A8" w:rsidRPr="00316157" w:rsidRDefault="007E34A8" w:rsidP="007E34A8">
      <w:pPr>
        <w:rPr>
          <w:b/>
          <w:sz w:val="22"/>
          <w:szCs w:val="22"/>
        </w:rPr>
      </w:pPr>
    </w:p>
    <w:p w14:paraId="094BE385" w14:textId="77777777" w:rsidR="007E34A8" w:rsidRPr="00316157" w:rsidRDefault="007E34A8" w:rsidP="007E34A8">
      <w:pPr>
        <w:jc w:val="center"/>
        <w:rPr>
          <w:sz w:val="22"/>
          <w:szCs w:val="22"/>
        </w:rPr>
      </w:pPr>
    </w:p>
    <w:p w14:paraId="3F640AA2" w14:textId="77777777" w:rsidR="007E34A8" w:rsidRPr="007353F2" w:rsidRDefault="007E34A8" w:rsidP="007E34A8">
      <w:pPr>
        <w:jc w:val="center"/>
        <w:rPr>
          <w:b/>
          <w:bCs/>
          <w:szCs w:val="22"/>
        </w:rPr>
      </w:pPr>
      <w:r w:rsidRPr="007353F2">
        <w:rPr>
          <w:b/>
          <w:bCs/>
          <w:szCs w:val="22"/>
        </w:rPr>
        <w:t xml:space="preserve">TÓM TẮT LUẬN </w:t>
      </w:r>
      <w:proofErr w:type="gramStart"/>
      <w:r w:rsidRPr="007353F2">
        <w:rPr>
          <w:b/>
          <w:bCs/>
          <w:szCs w:val="22"/>
        </w:rPr>
        <w:t>ÁN</w:t>
      </w:r>
      <w:proofErr w:type="gramEnd"/>
      <w:r w:rsidRPr="007353F2">
        <w:rPr>
          <w:b/>
          <w:bCs/>
          <w:szCs w:val="22"/>
        </w:rPr>
        <w:t xml:space="preserve"> TIẾN SĨ </w:t>
      </w:r>
      <w:r w:rsidR="002966AE" w:rsidRPr="007353F2">
        <w:rPr>
          <w:b/>
          <w:bCs/>
          <w:szCs w:val="22"/>
        </w:rPr>
        <w:t>DINH DƯỠNG</w:t>
      </w:r>
    </w:p>
    <w:p w14:paraId="7BF8ADDB" w14:textId="77777777" w:rsidR="007E34A8" w:rsidRPr="00316157" w:rsidRDefault="007E34A8" w:rsidP="007E34A8">
      <w:pPr>
        <w:rPr>
          <w:sz w:val="22"/>
          <w:szCs w:val="22"/>
        </w:rPr>
      </w:pPr>
    </w:p>
    <w:p w14:paraId="0E32B5EE" w14:textId="77777777" w:rsidR="007E34A8" w:rsidRPr="00316157" w:rsidRDefault="007E34A8" w:rsidP="007E34A8">
      <w:pPr>
        <w:rPr>
          <w:sz w:val="22"/>
          <w:szCs w:val="22"/>
        </w:rPr>
      </w:pPr>
    </w:p>
    <w:p w14:paraId="4A7A193E" w14:textId="77777777" w:rsidR="007E34A8" w:rsidRPr="00316157" w:rsidRDefault="007E34A8" w:rsidP="007E34A8">
      <w:pPr>
        <w:rPr>
          <w:sz w:val="22"/>
          <w:szCs w:val="22"/>
        </w:rPr>
      </w:pPr>
    </w:p>
    <w:p w14:paraId="492738B0" w14:textId="77777777" w:rsidR="007E34A8" w:rsidRDefault="007E34A8" w:rsidP="007E34A8">
      <w:pPr>
        <w:rPr>
          <w:sz w:val="22"/>
          <w:szCs w:val="22"/>
        </w:rPr>
      </w:pPr>
    </w:p>
    <w:p w14:paraId="00B697A0" w14:textId="77777777" w:rsidR="00EA7AB0" w:rsidRPr="00316157" w:rsidRDefault="00EA7AB0" w:rsidP="007E34A8">
      <w:pPr>
        <w:rPr>
          <w:sz w:val="22"/>
          <w:szCs w:val="22"/>
        </w:rPr>
      </w:pPr>
    </w:p>
    <w:p w14:paraId="77E386E0" w14:textId="77777777" w:rsidR="007E34A8" w:rsidRPr="00316157" w:rsidRDefault="007E34A8" w:rsidP="007E34A8">
      <w:pPr>
        <w:rPr>
          <w:b/>
          <w:sz w:val="22"/>
          <w:szCs w:val="22"/>
        </w:rPr>
      </w:pPr>
    </w:p>
    <w:p w14:paraId="6EBA3097" w14:textId="77777777" w:rsidR="007E34A8" w:rsidRPr="00316157" w:rsidRDefault="007E34A8" w:rsidP="007E34A8">
      <w:pPr>
        <w:rPr>
          <w:sz w:val="22"/>
          <w:szCs w:val="22"/>
        </w:rPr>
      </w:pPr>
    </w:p>
    <w:p w14:paraId="77E707EA" w14:textId="77777777" w:rsidR="007E34A8" w:rsidRPr="009C4F79" w:rsidRDefault="00CA2D4B" w:rsidP="007E34A8">
      <w:pPr>
        <w:jc w:val="center"/>
        <w:rPr>
          <w:b/>
          <w:bCs/>
          <w:sz w:val="22"/>
          <w:szCs w:val="22"/>
        </w:rPr>
        <w:sectPr w:rsidR="007E34A8" w:rsidRPr="009C4F79" w:rsidSect="007E34A8">
          <w:headerReference w:type="even" r:id="rId9"/>
          <w:headerReference w:type="default" r:id="rId10"/>
          <w:footerReference w:type="even" r:id="rId11"/>
          <w:footerReference w:type="default" r:id="rId12"/>
          <w:pgSz w:w="8391" w:h="11907" w:code="11"/>
          <w:pgMar w:top="1134" w:right="1134" w:bottom="1134" w:left="1134" w:header="720" w:footer="720" w:gutter="0"/>
          <w:pgBorders w:zOrder="back">
            <w:top w:val="twistedLines1" w:sz="18" w:space="1" w:color="auto"/>
            <w:left w:val="twistedLines1" w:sz="18" w:space="4" w:color="auto"/>
            <w:bottom w:val="twistedLines1" w:sz="18" w:space="1" w:color="auto"/>
            <w:right w:val="twistedLines1" w:sz="18" w:space="4" w:color="auto"/>
          </w:pgBorders>
          <w:cols w:space="720"/>
          <w:docGrid w:linePitch="360"/>
        </w:sectPr>
      </w:pPr>
      <w:r w:rsidRPr="009C4F79">
        <w:rPr>
          <w:b/>
          <w:bCs/>
          <w:sz w:val="22"/>
          <w:szCs w:val="22"/>
        </w:rPr>
        <w:t xml:space="preserve">Hà Nội - </w:t>
      </w:r>
      <w:r w:rsidR="00221CFF" w:rsidRPr="009C4F79">
        <w:rPr>
          <w:b/>
          <w:bCs/>
          <w:sz w:val="22"/>
          <w:szCs w:val="22"/>
        </w:rPr>
        <w:t>2023</w:t>
      </w:r>
    </w:p>
    <w:p w14:paraId="75278DF9" w14:textId="77777777" w:rsidR="009C4F79" w:rsidRPr="009C4F79" w:rsidRDefault="009C4F79" w:rsidP="009C4F79">
      <w:pPr>
        <w:jc w:val="center"/>
        <w:rPr>
          <w:b/>
          <w:bCs/>
          <w:noProof/>
          <w:sz w:val="22"/>
          <w:szCs w:val="22"/>
        </w:rPr>
      </w:pPr>
      <w:r w:rsidRPr="009C4F79">
        <w:rPr>
          <w:b/>
          <w:bCs/>
          <w:noProof/>
          <w:sz w:val="22"/>
          <w:szCs w:val="22"/>
        </w:rPr>
        <w:lastRenderedPageBreak/>
        <w:t>CÔNG TRÌNH NÀY ĐƯỢC HOÀN THÀNH TẠI</w:t>
      </w:r>
    </w:p>
    <w:p w14:paraId="097E6DF1" w14:textId="77777777" w:rsidR="007E34A8" w:rsidRPr="009C4F79" w:rsidRDefault="009C4F79" w:rsidP="009C4F79">
      <w:pPr>
        <w:jc w:val="center"/>
        <w:rPr>
          <w:b/>
          <w:bCs/>
          <w:sz w:val="22"/>
          <w:szCs w:val="22"/>
        </w:rPr>
      </w:pPr>
      <w:r w:rsidRPr="009C4F79">
        <w:rPr>
          <w:b/>
          <w:bCs/>
          <w:noProof/>
          <w:sz w:val="22"/>
          <w:szCs w:val="22"/>
        </w:rPr>
        <w:t>VIỆN DINH DƯỠNG</w:t>
      </w:r>
    </w:p>
    <w:p w14:paraId="524C59FE" w14:textId="77777777" w:rsidR="007E34A8" w:rsidRPr="00316157" w:rsidRDefault="007E34A8" w:rsidP="007E34A8">
      <w:pPr>
        <w:jc w:val="center"/>
        <w:rPr>
          <w:sz w:val="22"/>
          <w:szCs w:val="22"/>
        </w:rPr>
      </w:pPr>
    </w:p>
    <w:p w14:paraId="56253BE4" w14:textId="77777777" w:rsidR="007E34A8" w:rsidRPr="00316157" w:rsidRDefault="007E34A8" w:rsidP="007E34A8">
      <w:pPr>
        <w:jc w:val="center"/>
        <w:rPr>
          <w:sz w:val="22"/>
          <w:szCs w:val="22"/>
        </w:rPr>
      </w:pPr>
    </w:p>
    <w:p w14:paraId="6D7772C4" w14:textId="77777777" w:rsidR="007E34A8" w:rsidRPr="00316157" w:rsidRDefault="007E34A8" w:rsidP="007E34A8">
      <w:pPr>
        <w:jc w:val="center"/>
        <w:rPr>
          <w:sz w:val="22"/>
          <w:szCs w:val="22"/>
        </w:rPr>
      </w:pPr>
    </w:p>
    <w:p w14:paraId="1A7ABA59" w14:textId="77777777" w:rsidR="007E34A8" w:rsidRPr="00316157" w:rsidRDefault="007E34A8" w:rsidP="007E34A8">
      <w:pPr>
        <w:jc w:val="center"/>
        <w:rPr>
          <w:sz w:val="22"/>
          <w:szCs w:val="22"/>
        </w:rPr>
      </w:pPr>
    </w:p>
    <w:p w14:paraId="714BA698" w14:textId="77777777" w:rsidR="007E34A8" w:rsidRPr="00316157" w:rsidRDefault="007E34A8" w:rsidP="007E34A8">
      <w:pPr>
        <w:jc w:val="center"/>
        <w:rPr>
          <w:sz w:val="22"/>
          <w:szCs w:val="22"/>
        </w:rPr>
      </w:pPr>
    </w:p>
    <w:p w14:paraId="7E43133F" w14:textId="77777777" w:rsidR="00961938" w:rsidRPr="005E5F86" w:rsidRDefault="009429A1" w:rsidP="006D257D">
      <w:pPr>
        <w:spacing w:line="276" w:lineRule="auto"/>
        <w:jc w:val="both"/>
        <w:rPr>
          <w:b/>
          <w:bCs/>
          <w:sz w:val="22"/>
          <w:szCs w:val="22"/>
        </w:rPr>
      </w:pPr>
      <w:r w:rsidRPr="005E5F86">
        <w:rPr>
          <w:b/>
          <w:bCs/>
          <w:sz w:val="22"/>
          <w:szCs w:val="22"/>
        </w:rPr>
        <w:t>Người</w:t>
      </w:r>
      <w:r w:rsidR="0072311C" w:rsidRPr="005E5F86">
        <w:rPr>
          <w:b/>
          <w:bCs/>
          <w:sz w:val="22"/>
          <w:szCs w:val="22"/>
        </w:rPr>
        <w:t xml:space="preserve"> hướng dẫn khoa học: </w:t>
      </w:r>
      <w:r w:rsidR="0079253C" w:rsidRPr="005E5F86">
        <w:rPr>
          <w:b/>
          <w:bCs/>
          <w:sz w:val="22"/>
          <w:szCs w:val="22"/>
        </w:rPr>
        <w:tab/>
      </w:r>
    </w:p>
    <w:p w14:paraId="6E4645CE" w14:textId="77777777" w:rsidR="00221CFF" w:rsidRPr="00221CFF" w:rsidRDefault="00221CFF" w:rsidP="006D257D">
      <w:pPr>
        <w:pStyle w:val="ListParagraph"/>
        <w:numPr>
          <w:ilvl w:val="0"/>
          <w:numId w:val="1"/>
        </w:numPr>
        <w:spacing w:line="276" w:lineRule="auto"/>
        <w:ind w:left="714" w:hanging="357"/>
        <w:rPr>
          <w:color w:val="000000"/>
          <w:sz w:val="22"/>
          <w:szCs w:val="22"/>
        </w:rPr>
      </w:pPr>
      <w:r w:rsidRPr="00221CFF">
        <w:rPr>
          <w:color w:val="000000"/>
          <w:sz w:val="22"/>
          <w:szCs w:val="22"/>
        </w:rPr>
        <w:t xml:space="preserve">PGS. TS. NGUYỄN QUANG DŨNG </w:t>
      </w:r>
    </w:p>
    <w:p w14:paraId="18F0DBA9" w14:textId="77777777" w:rsidR="0072311C" w:rsidRPr="00221CFF" w:rsidRDefault="00221CFF" w:rsidP="006D257D">
      <w:pPr>
        <w:pStyle w:val="ListParagraph"/>
        <w:numPr>
          <w:ilvl w:val="0"/>
          <w:numId w:val="1"/>
        </w:numPr>
        <w:spacing w:line="276" w:lineRule="auto"/>
        <w:ind w:left="714" w:hanging="357"/>
        <w:rPr>
          <w:color w:val="000000"/>
          <w:sz w:val="22"/>
          <w:szCs w:val="22"/>
        </w:rPr>
      </w:pPr>
      <w:r w:rsidRPr="00221CFF">
        <w:rPr>
          <w:bCs/>
          <w:color w:val="000000" w:themeColor="text1"/>
          <w:sz w:val="22"/>
          <w:szCs w:val="22"/>
        </w:rPr>
        <w:t>PGS. TS. TRẦN THÚY NGA</w:t>
      </w:r>
    </w:p>
    <w:p w14:paraId="6B27A48E" w14:textId="77777777" w:rsidR="007465C7" w:rsidRPr="00316157" w:rsidRDefault="007465C7" w:rsidP="007465C7">
      <w:pPr>
        <w:rPr>
          <w:color w:val="000000"/>
          <w:sz w:val="22"/>
          <w:szCs w:val="22"/>
        </w:rPr>
      </w:pPr>
    </w:p>
    <w:p w14:paraId="6AE0C455" w14:textId="77777777" w:rsidR="007465C7" w:rsidRPr="00316157" w:rsidRDefault="007465C7" w:rsidP="007465C7">
      <w:pPr>
        <w:rPr>
          <w:color w:val="000000"/>
          <w:sz w:val="22"/>
          <w:szCs w:val="22"/>
        </w:rPr>
      </w:pPr>
    </w:p>
    <w:p w14:paraId="4BD8EEAF" w14:textId="77777777" w:rsidR="007465C7" w:rsidRPr="00316157" w:rsidRDefault="007465C7" w:rsidP="007465C7">
      <w:pPr>
        <w:rPr>
          <w:color w:val="000000"/>
          <w:sz w:val="22"/>
          <w:szCs w:val="22"/>
        </w:rPr>
      </w:pPr>
    </w:p>
    <w:p w14:paraId="5C498883" w14:textId="77777777" w:rsidR="007465C7" w:rsidRPr="00316157" w:rsidRDefault="007465C7" w:rsidP="00EA7AB0">
      <w:pPr>
        <w:spacing w:line="276" w:lineRule="auto"/>
        <w:rPr>
          <w:color w:val="000000"/>
          <w:sz w:val="22"/>
          <w:szCs w:val="22"/>
        </w:rPr>
      </w:pPr>
      <w:r w:rsidRPr="00316157">
        <w:rPr>
          <w:color w:val="000000"/>
          <w:sz w:val="22"/>
          <w:szCs w:val="22"/>
        </w:rPr>
        <w:t>Phản biện 1:</w:t>
      </w:r>
      <w:r w:rsidR="004166CB" w:rsidRPr="00316157">
        <w:rPr>
          <w:color w:val="000000"/>
          <w:sz w:val="22"/>
          <w:szCs w:val="22"/>
        </w:rPr>
        <w:t xml:space="preserve"> </w:t>
      </w:r>
    </w:p>
    <w:p w14:paraId="0C06FABC" w14:textId="77777777" w:rsidR="007465C7" w:rsidRPr="00316157" w:rsidRDefault="007465C7" w:rsidP="00EA7AB0">
      <w:pPr>
        <w:spacing w:line="276" w:lineRule="auto"/>
        <w:rPr>
          <w:color w:val="000000"/>
          <w:sz w:val="22"/>
          <w:szCs w:val="22"/>
        </w:rPr>
      </w:pPr>
      <w:r w:rsidRPr="00316157">
        <w:rPr>
          <w:color w:val="000000"/>
          <w:sz w:val="22"/>
          <w:szCs w:val="22"/>
        </w:rPr>
        <w:t>Phản biện 2:</w:t>
      </w:r>
      <w:r w:rsidR="004166CB" w:rsidRPr="00316157">
        <w:rPr>
          <w:color w:val="000000"/>
          <w:sz w:val="22"/>
          <w:szCs w:val="22"/>
        </w:rPr>
        <w:t xml:space="preserve"> </w:t>
      </w:r>
    </w:p>
    <w:p w14:paraId="02CDBC6B" w14:textId="77777777" w:rsidR="00DF7DF8" w:rsidRPr="00316157" w:rsidRDefault="007465C7" w:rsidP="00EA7AB0">
      <w:pPr>
        <w:spacing w:line="276" w:lineRule="auto"/>
        <w:rPr>
          <w:color w:val="000000"/>
          <w:sz w:val="22"/>
          <w:szCs w:val="22"/>
        </w:rPr>
      </w:pPr>
      <w:r w:rsidRPr="00316157">
        <w:rPr>
          <w:color w:val="000000"/>
          <w:sz w:val="22"/>
          <w:szCs w:val="22"/>
        </w:rPr>
        <w:t>Phản biện 3:</w:t>
      </w:r>
      <w:r w:rsidR="004166CB" w:rsidRPr="00316157">
        <w:rPr>
          <w:color w:val="000000"/>
          <w:sz w:val="22"/>
          <w:szCs w:val="22"/>
        </w:rPr>
        <w:t xml:space="preserve"> </w:t>
      </w:r>
    </w:p>
    <w:p w14:paraId="29C1F83D" w14:textId="77777777" w:rsidR="007465C7" w:rsidRDefault="007465C7" w:rsidP="00EA7AB0">
      <w:pPr>
        <w:spacing w:line="276" w:lineRule="auto"/>
        <w:rPr>
          <w:color w:val="000000"/>
          <w:sz w:val="22"/>
          <w:szCs w:val="22"/>
        </w:rPr>
      </w:pPr>
    </w:p>
    <w:p w14:paraId="115D0BD0" w14:textId="77777777" w:rsidR="00EA7AB0" w:rsidRDefault="00EA7AB0" w:rsidP="00EA7AB0">
      <w:pPr>
        <w:spacing w:line="276" w:lineRule="auto"/>
        <w:rPr>
          <w:color w:val="000000"/>
          <w:sz w:val="22"/>
          <w:szCs w:val="22"/>
        </w:rPr>
      </w:pPr>
    </w:p>
    <w:p w14:paraId="399AF844" w14:textId="77777777" w:rsidR="00EA7AB0" w:rsidRPr="00316157" w:rsidRDefault="00EA7AB0" w:rsidP="00EA7AB0">
      <w:pPr>
        <w:spacing w:line="276" w:lineRule="auto"/>
        <w:rPr>
          <w:color w:val="000000"/>
          <w:sz w:val="22"/>
          <w:szCs w:val="22"/>
        </w:rPr>
      </w:pPr>
    </w:p>
    <w:p w14:paraId="09330A0B" w14:textId="77777777" w:rsidR="00EA7AB0" w:rsidRPr="00EA7AB0" w:rsidRDefault="00EA7AB0" w:rsidP="009C4F79">
      <w:pPr>
        <w:spacing w:line="276" w:lineRule="auto"/>
        <w:ind w:right="-114"/>
        <w:jc w:val="both"/>
        <w:rPr>
          <w:color w:val="000000"/>
          <w:sz w:val="22"/>
          <w:szCs w:val="22"/>
        </w:rPr>
      </w:pPr>
      <w:r w:rsidRPr="00EA7AB0">
        <w:rPr>
          <w:color w:val="000000"/>
          <w:sz w:val="22"/>
          <w:szCs w:val="22"/>
        </w:rPr>
        <w:t>Luận án sẽ được bảo vệ trước Hội đồng chấm Luận án Tiến sĩ cấp Viện tại Viện Dinh Dưỡng</w:t>
      </w:r>
    </w:p>
    <w:p w14:paraId="06150A76" w14:textId="77777777" w:rsidR="00EA7AB0" w:rsidRPr="00EA7AB0" w:rsidRDefault="00EA7AB0" w:rsidP="00EA7AB0">
      <w:pPr>
        <w:spacing w:line="276" w:lineRule="auto"/>
        <w:rPr>
          <w:color w:val="000000"/>
          <w:sz w:val="22"/>
          <w:szCs w:val="22"/>
        </w:rPr>
      </w:pPr>
      <w:r w:rsidRPr="00EA7AB0">
        <w:rPr>
          <w:color w:val="000000"/>
          <w:sz w:val="22"/>
          <w:szCs w:val="22"/>
        </w:rPr>
        <w:t xml:space="preserve">Vào hồi: ........... </w:t>
      </w:r>
      <w:proofErr w:type="gramStart"/>
      <w:r w:rsidRPr="00EA7AB0">
        <w:rPr>
          <w:color w:val="000000"/>
          <w:sz w:val="22"/>
          <w:szCs w:val="22"/>
        </w:rPr>
        <w:t>giờ</w:t>
      </w:r>
      <w:proofErr w:type="gramEnd"/>
      <w:r w:rsidRPr="00EA7AB0">
        <w:rPr>
          <w:color w:val="000000"/>
          <w:sz w:val="22"/>
          <w:szCs w:val="22"/>
        </w:rPr>
        <w:t>, ngày ........, tháng ......., năm 2023.</w:t>
      </w:r>
    </w:p>
    <w:p w14:paraId="703F08C3" w14:textId="77777777" w:rsidR="00EA7AB0" w:rsidRPr="00EA7AB0" w:rsidRDefault="00EA7AB0" w:rsidP="00EA7AB0">
      <w:pPr>
        <w:spacing w:line="276" w:lineRule="auto"/>
        <w:rPr>
          <w:color w:val="000000"/>
          <w:sz w:val="22"/>
          <w:szCs w:val="22"/>
        </w:rPr>
      </w:pPr>
    </w:p>
    <w:p w14:paraId="3D400E03" w14:textId="77777777" w:rsidR="00EA7AB0" w:rsidRPr="00EA7AB0" w:rsidRDefault="00EA7AB0" w:rsidP="00EA7AB0">
      <w:pPr>
        <w:spacing w:line="276" w:lineRule="auto"/>
        <w:rPr>
          <w:color w:val="000000"/>
          <w:sz w:val="22"/>
          <w:szCs w:val="22"/>
        </w:rPr>
      </w:pPr>
    </w:p>
    <w:p w14:paraId="5D665597" w14:textId="77777777" w:rsidR="00EA7AB0" w:rsidRPr="00EA7AB0" w:rsidRDefault="00EA7AB0" w:rsidP="00EA7AB0">
      <w:pPr>
        <w:spacing w:line="276" w:lineRule="auto"/>
        <w:rPr>
          <w:color w:val="000000"/>
          <w:sz w:val="22"/>
          <w:szCs w:val="22"/>
        </w:rPr>
      </w:pPr>
    </w:p>
    <w:p w14:paraId="39EE6D27" w14:textId="77777777" w:rsidR="00EA7AB0" w:rsidRPr="00EA7AB0" w:rsidRDefault="00EA7AB0" w:rsidP="009C4F79">
      <w:pPr>
        <w:spacing w:line="276" w:lineRule="auto"/>
        <w:ind w:firstLine="567"/>
        <w:rPr>
          <w:color w:val="000000"/>
          <w:sz w:val="22"/>
          <w:szCs w:val="22"/>
        </w:rPr>
      </w:pPr>
      <w:r w:rsidRPr="00EA7AB0">
        <w:rPr>
          <w:color w:val="000000"/>
          <w:sz w:val="22"/>
          <w:szCs w:val="22"/>
        </w:rPr>
        <w:t xml:space="preserve">Có thể tìm hiểu luận </w:t>
      </w:r>
      <w:proofErr w:type="gramStart"/>
      <w:r w:rsidRPr="00EA7AB0">
        <w:rPr>
          <w:color w:val="000000"/>
          <w:sz w:val="22"/>
          <w:szCs w:val="22"/>
        </w:rPr>
        <w:t>án</w:t>
      </w:r>
      <w:proofErr w:type="gramEnd"/>
      <w:r w:rsidRPr="00EA7AB0">
        <w:rPr>
          <w:color w:val="000000"/>
          <w:sz w:val="22"/>
          <w:szCs w:val="22"/>
        </w:rPr>
        <w:t xml:space="preserve"> tại:</w:t>
      </w:r>
    </w:p>
    <w:p w14:paraId="0ADE4F35" w14:textId="77777777" w:rsidR="00EA7AB0" w:rsidRPr="00EA7AB0" w:rsidRDefault="00EA7AB0" w:rsidP="009C4F79">
      <w:pPr>
        <w:spacing w:line="276" w:lineRule="auto"/>
        <w:ind w:firstLine="993"/>
        <w:rPr>
          <w:color w:val="000000"/>
          <w:sz w:val="22"/>
          <w:szCs w:val="22"/>
        </w:rPr>
      </w:pPr>
      <w:r w:rsidRPr="00EA7AB0">
        <w:rPr>
          <w:color w:val="000000"/>
          <w:sz w:val="22"/>
          <w:szCs w:val="22"/>
        </w:rPr>
        <w:t>-</w:t>
      </w:r>
      <w:r w:rsidR="009C4F79">
        <w:rPr>
          <w:color w:val="000000"/>
          <w:sz w:val="22"/>
          <w:szCs w:val="22"/>
        </w:rPr>
        <w:t xml:space="preserve"> </w:t>
      </w:r>
      <w:r w:rsidRPr="00EA7AB0">
        <w:rPr>
          <w:color w:val="000000"/>
          <w:sz w:val="22"/>
          <w:szCs w:val="22"/>
        </w:rPr>
        <w:t>Thư viện Quốc gia</w:t>
      </w:r>
    </w:p>
    <w:p w14:paraId="0D915629" w14:textId="77777777" w:rsidR="0079253C" w:rsidRPr="00316157" w:rsidRDefault="00EA7AB0" w:rsidP="009C4F79">
      <w:pPr>
        <w:spacing w:line="276" w:lineRule="auto"/>
        <w:ind w:firstLine="993"/>
        <w:rPr>
          <w:color w:val="000000"/>
          <w:sz w:val="22"/>
          <w:szCs w:val="22"/>
        </w:rPr>
      </w:pPr>
      <w:r w:rsidRPr="00EA7AB0">
        <w:rPr>
          <w:color w:val="000000"/>
          <w:sz w:val="22"/>
          <w:szCs w:val="22"/>
        </w:rPr>
        <w:t>-</w:t>
      </w:r>
      <w:r w:rsidR="009C4F79">
        <w:rPr>
          <w:color w:val="000000"/>
          <w:sz w:val="22"/>
          <w:szCs w:val="22"/>
        </w:rPr>
        <w:t xml:space="preserve"> </w:t>
      </w:r>
      <w:r w:rsidRPr="00EA7AB0">
        <w:rPr>
          <w:color w:val="000000"/>
          <w:sz w:val="22"/>
          <w:szCs w:val="22"/>
        </w:rPr>
        <w:t xml:space="preserve">Thư viện Viện Dinh </w:t>
      </w:r>
      <w:r w:rsidR="002D4E10">
        <w:rPr>
          <w:color w:val="000000"/>
          <w:sz w:val="22"/>
          <w:szCs w:val="22"/>
        </w:rPr>
        <w:t>d</w:t>
      </w:r>
      <w:r w:rsidRPr="00EA7AB0">
        <w:rPr>
          <w:color w:val="000000"/>
          <w:sz w:val="22"/>
          <w:szCs w:val="22"/>
        </w:rPr>
        <w:t>ưỡng</w:t>
      </w:r>
    </w:p>
    <w:p w14:paraId="1BA31553" w14:textId="77777777" w:rsidR="0079253C" w:rsidRPr="00316157" w:rsidRDefault="0079253C" w:rsidP="007465C7">
      <w:pPr>
        <w:rPr>
          <w:color w:val="000000"/>
          <w:sz w:val="22"/>
          <w:szCs w:val="22"/>
        </w:rPr>
      </w:pPr>
    </w:p>
    <w:p w14:paraId="5A75CDFE" w14:textId="77777777" w:rsidR="0079253C" w:rsidRPr="00316157" w:rsidRDefault="0079253C" w:rsidP="007465C7">
      <w:pPr>
        <w:rPr>
          <w:color w:val="000000"/>
          <w:sz w:val="22"/>
          <w:szCs w:val="22"/>
        </w:rPr>
      </w:pPr>
    </w:p>
    <w:p w14:paraId="746C75FE" w14:textId="77777777" w:rsidR="0079253C" w:rsidRPr="00316157" w:rsidRDefault="0079253C" w:rsidP="007465C7">
      <w:pPr>
        <w:rPr>
          <w:color w:val="000000"/>
          <w:sz w:val="22"/>
          <w:szCs w:val="22"/>
        </w:rPr>
      </w:pPr>
    </w:p>
    <w:p w14:paraId="7FF7809D" w14:textId="77777777" w:rsidR="003F2B34" w:rsidRPr="00695A76" w:rsidRDefault="00F622B4" w:rsidP="003F2B34">
      <w:pPr>
        <w:pStyle w:val="A1"/>
      </w:pPr>
      <w:r>
        <w:rPr>
          <w:color w:val="000000"/>
        </w:rPr>
        <w:br w:type="page"/>
      </w:r>
      <w:bookmarkStart w:id="0" w:name="_Toc131406481"/>
      <w:bookmarkStart w:id="1" w:name="_Toc131414194"/>
      <w:r w:rsidR="003F2B34" w:rsidRPr="00695A76">
        <w:lastRenderedPageBreak/>
        <w:t>DANH MỤC CÁC CÔNG TRÌNH</w:t>
      </w:r>
      <w:bookmarkEnd w:id="0"/>
      <w:bookmarkEnd w:id="1"/>
    </w:p>
    <w:p w14:paraId="550E043D" w14:textId="77777777" w:rsidR="003F2B34" w:rsidRPr="00695A76" w:rsidRDefault="003F2B34" w:rsidP="003F2B34">
      <w:pPr>
        <w:pStyle w:val="A1"/>
      </w:pPr>
      <w:bookmarkStart w:id="2" w:name="_Toc131406482"/>
      <w:bookmarkStart w:id="3" w:name="_Toc131414195"/>
      <w:r w:rsidRPr="00695A76">
        <w:t>LIÊN QUAN ĐẾN LUẬN ÁN ĐÃ CÔNG BỐ</w:t>
      </w:r>
      <w:bookmarkEnd w:id="2"/>
      <w:bookmarkEnd w:id="3"/>
    </w:p>
    <w:p w14:paraId="15C58615" w14:textId="77777777" w:rsidR="00261E98" w:rsidRPr="003F2B34" w:rsidRDefault="00261E98" w:rsidP="00261E98">
      <w:pPr>
        <w:rPr>
          <w:rFonts w:eastAsia="Gulim"/>
          <w:b/>
          <w:bCs/>
          <w:spacing w:val="-6"/>
          <w:sz w:val="22"/>
          <w:szCs w:val="22"/>
        </w:rPr>
      </w:pPr>
    </w:p>
    <w:p w14:paraId="55B59903" w14:textId="77777777" w:rsidR="00261E98" w:rsidRPr="00C35DE0" w:rsidRDefault="00261E98" w:rsidP="00261E98">
      <w:pPr>
        <w:rPr>
          <w:rFonts w:eastAsia="Gulim"/>
          <w:b/>
          <w:bCs/>
          <w:spacing w:val="-6"/>
          <w:sz w:val="22"/>
          <w:szCs w:val="22"/>
          <w:lang w:val="pt-BR"/>
        </w:rPr>
      </w:pPr>
    </w:p>
    <w:p w14:paraId="32BBE993" w14:textId="77777777" w:rsidR="00261E98" w:rsidRPr="009141CC" w:rsidRDefault="00261E98" w:rsidP="005E5F86">
      <w:pPr>
        <w:spacing w:line="340" w:lineRule="exact"/>
        <w:ind w:firstLine="567"/>
        <w:jc w:val="both"/>
        <w:rPr>
          <w:rFonts w:eastAsia="Gulim"/>
          <w:bCs/>
          <w:spacing w:val="-6"/>
          <w:sz w:val="22"/>
          <w:szCs w:val="22"/>
          <w:lang w:val="pt-BR"/>
        </w:rPr>
      </w:pPr>
      <w:r w:rsidRPr="009141CC">
        <w:rPr>
          <w:rFonts w:eastAsia="Gulim"/>
          <w:bCs/>
          <w:spacing w:val="-6"/>
          <w:sz w:val="22"/>
          <w:szCs w:val="22"/>
          <w:lang w:val="pt-BR"/>
        </w:rPr>
        <w:t xml:space="preserve">1. </w:t>
      </w:r>
      <w:r w:rsidRPr="007353F2">
        <w:rPr>
          <w:rFonts w:eastAsia="Gulim"/>
          <w:b/>
          <w:spacing w:val="-6"/>
          <w:sz w:val="22"/>
          <w:szCs w:val="22"/>
          <w:lang w:val="pt-BR"/>
        </w:rPr>
        <w:t>Phan Tiến Hoàng</w:t>
      </w:r>
      <w:r w:rsidRPr="009141CC">
        <w:rPr>
          <w:rFonts w:eastAsia="Gulim"/>
          <w:bCs/>
          <w:spacing w:val="-6"/>
          <w:sz w:val="22"/>
          <w:szCs w:val="22"/>
          <w:lang w:val="pt-BR"/>
        </w:rPr>
        <w:t>, Nguyễn Thị Lan Phương, Trần Thúy Nga, Lê Danh tuyên, Nguyễn Quang Dũng (2019). Thực trạng nhẹ cân, thiếu máu, thiếu sắt, thiếu kẽm  trên trẻ 1-3 tuổi suy dinh dưỡng thấp còi. Tạp chí Dinh dưỡng &amp; Thực phẩm Tập 15, số 4 – 2019, trang 1 - 10.</w:t>
      </w:r>
    </w:p>
    <w:p w14:paraId="6DFC6BF0" w14:textId="77777777" w:rsidR="00261E98" w:rsidRPr="009141CC" w:rsidRDefault="00261E98" w:rsidP="005E5F86">
      <w:pPr>
        <w:spacing w:line="340" w:lineRule="exact"/>
        <w:ind w:firstLine="567"/>
        <w:jc w:val="both"/>
        <w:rPr>
          <w:rFonts w:eastAsia="Gulim"/>
          <w:bCs/>
          <w:spacing w:val="-6"/>
          <w:sz w:val="22"/>
          <w:szCs w:val="22"/>
          <w:lang w:val="pt-BR"/>
        </w:rPr>
      </w:pPr>
      <w:r w:rsidRPr="009141CC">
        <w:rPr>
          <w:rFonts w:eastAsia="Gulim"/>
          <w:bCs/>
          <w:spacing w:val="-6"/>
          <w:sz w:val="22"/>
          <w:szCs w:val="22"/>
          <w:lang w:val="pt-BR"/>
        </w:rPr>
        <w:t xml:space="preserve">2. </w:t>
      </w:r>
      <w:r w:rsidRPr="007353F2">
        <w:rPr>
          <w:rFonts w:eastAsia="Gulim"/>
          <w:b/>
          <w:spacing w:val="-6"/>
          <w:sz w:val="22"/>
          <w:szCs w:val="22"/>
          <w:lang w:val="pt-BR"/>
        </w:rPr>
        <w:t>Phan Tiến Hoàng</w:t>
      </w:r>
      <w:r w:rsidRPr="009141CC">
        <w:rPr>
          <w:rFonts w:eastAsia="Gulim"/>
          <w:bCs/>
          <w:spacing w:val="-6"/>
          <w:sz w:val="22"/>
          <w:szCs w:val="22"/>
          <w:lang w:val="pt-BR"/>
        </w:rPr>
        <w:t>, Nguyễn Quang Dũng, Nguyễn Thị Lan Phương, Trần Thúy Nga, Lê Danh Tuyên (2022). Hiệu quả bổ sung phối hợp sắt và kẽm đến tình trạng thiếu máu, thiếu sắt, thiếu kẽm trên trẻ 1-3 tuổi suy dinh dưỡng thấp còi. Tạp chí Dinh dưỡng &amp; Thực phẩm Tập 18, số 1 – 2022, trang 30 - 37.</w:t>
      </w:r>
    </w:p>
    <w:p w14:paraId="07C5D798" w14:textId="77777777" w:rsidR="00261E98" w:rsidRDefault="00261E98">
      <w:pPr>
        <w:rPr>
          <w:color w:val="000000"/>
          <w:sz w:val="22"/>
          <w:szCs w:val="22"/>
        </w:rPr>
      </w:pPr>
    </w:p>
    <w:p w14:paraId="4BEC8A01" w14:textId="77777777" w:rsidR="00F622B4" w:rsidRDefault="00F622B4">
      <w:pPr>
        <w:rPr>
          <w:color w:val="000000"/>
          <w:sz w:val="22"/>
          <w:szCs w:val="22"/>
        </w:rPr>
      </w:pPr>
    </w:p>
    <w:p w14:paraId="4C773383" w14:textId="77777777" w:rsidR="007465C7" w:rsidRPr="00316157" w:rsidRDefault="007465C7" w:rsidP="004A0B1F">
      <w:pPr>
        <w:pStyle w:val="ListParagraph"/>
        <w:numPr>
          <w:ilvl w:val="0"/>
          <w:numId w:val="3"/>
        </w:numPr>
        <w:ind w:left="993" w:hanging="426"/>
        <w:rPr>
          <w:color w:val="000000"/>
          <w:sz w:val="22"/>
          <w:szCs w:val="22"/>
        </w:rPr>
        <w:sectPr w:rsidR="007465C7" w:rsidRPr="00316157" w:rsidSect="007E34A8">
          <w:headerReference w:type="default" r:id="rId13"/>
          <w:pgSz w:w="8391" w:h="11907" w:code="11"/>
          <w:pgMar w:top="1134" w:right="1134" w:bottom="1134" w:left="1134" w:header="720" w:footer="720" w:gutter="0"/>
          <w:cols w:space="720"/>
          <w:docGrid w:linePitch="360"/>
        </w:sectPr>
      </w:pPr>
    </w:p>
    <w:p w14:paraId="13FFF8B1" w14:textId="77777777" w:rsidR="00D76450" w:rsidRPr="009F3CFD" w:rsidRDefault="00D76450" w:rsidP="00D76450">
      <w:pPr>
        <w:spacing w:afterLines="60" w:after="144"/>
        <w:jc w:val="center"/>
        <w:rPr>
          <w:b/>
          <w:sz w:val="22"/>
          <w:szCs w:val="22"/>
        </w:rPr>
      </w:pPr>
      <w:r w:rsidRPr="009F3CFD">
        <w:rPr>
          <w:b/>
          <w:sz w:val="22"/>
          <w:szCs w:val="22"/>
        </w:rPr>
        <w:lastRenderedPageBreak/>
        <w:t>MỞ ĐẦU</w:t>
      </w:r>
    </w:p>
    <w:p w14:paraId="5DF45872" w14:textId="77777777" w:rsidR="00221CFF" w:rsidRPr="009F3CFD" w:rsidRDefault="00221CFF" w:rsidP="00A1659D">
      <w:pPr>
        <w:spacing w:line="280" w:lineRule="exact"/>
        <w:ind w:firstLine="426"/>
        <w:jc w:val="both"/>
        <w:rPr>
          <w:sz w:val="22"/>
          <w:szCs w:val="22"/>
          <w:lang w:val="it-IT"/>
        </w:rPr>
      </w:pPr>
      <w:r w:rsidRPr="009F3CFD">
        <w:rPr>
          <w:sz w:val="22"/>
          <w:szCs w:val="22"/>
          <w:lang w:val="it-IT"/>
        </w:rPr>
        <w:t xml:space="preserve">Suy dinh dưỡng (SDD), thiếu vi chất dinh dưỡng là tình trạng bệnh lý mang tính cộng đồng phổ biến ở các nước đang phát triển. Tình trạng tăng trưởng kém ở trẻ em, trong đó suy dinh dưỡng thể thấp còi là một trong những thách thức y tế công cộng toàn cầu. Thiếu  vi chất dinh dưỡng là nguyên nhân trực tiếp hoặc gián tiếp của hơn 50% tổng số ca tử vong ở trẻ dưới 5 tuổi trên toàn cầu. Khoảng 12% trường hợp tử vong ở trẻ em dưới 5 tuổi là do thiếu 4 vi chất dinh dưỡng phổ biến bao gồm sắt, iốt, vitamin A và kẽm. </w:t>
      </w:r>
      <w:r w:rsidR="008B3529" w:rsidRPr="009F3CFD">
        <w:rPr>
          <w:sz w:val="22"/>
          <w:szCs w:val="22"/>
          <w:lang w:val="it-IT"/>
        </w:rPr>
        <w:t>Thiếu sắt và kẽm trên toàn cầu là một trong những thiếu hụt vi chất dinh dưỡng phổ biến, phụ nữ và trẻ em là đối tượng nguy cơ thiếu vi chất dinh dưỡng đặc biệt trẻ em dưới 5 tuổi. Tỷ lệ thiếu sắt của trẻ 6 đến 59 tháng tuổi toàn quốc chiếm 53,2%. tỷ lệ thiếu kẽm ở trẻ 6-59 tháng tuổi chiếm tỷ lệ 58,0%. So với điều tra toàn quốc năm 2015 tỷ lệ thiếu kẽm ở trẻ em 6-59 tháng tuổi giảm đáng kể (từ 69% xuống 58,0%). Tỷ lệ thiếu sắt, thiếu kẽm ở trẻ 6-59 tháng phổ biến tại khu vực nông thôn và miền núi.</w:t>
      </w:r>
    </w:p>
    <w:p w14:paraId="01F1E575" w14:textId="77777777" w:rsidR="00221CFF" w:rsidRPr="009F3CFD" w:rsidRDefault="00221CFF" w:rsidP="00A1659D">
      <w:pPr>
        <w:spacing w:line="280" w:lineRule="exact"/>
        <w:ind w:firstLine="426"/>
        <w:jc w:val="both"/>
        <w:rPr>
          <w:sz w:val="22"/>
          <w:szCs w:val="22"/>
          <w:lang w:val="it-IT"/>
        </w:rPr>
      </w:pPr>
      <w:r w:rsidRPr="009F3CFD">
        <w:rPr>
          <w:sz w:val="22"/>
          <w:szCs w:val="22"/>
          <w:lang w:val="it-IT"/>
        </w:rPr>
        <w:t xml:space="preserve">Đánh giá hiệu quả của bổ sung sắt riêng rẽ, kẽm riêng rẽ lên tình trạng của vi chất kia (ví dụ kẽm lên tình trạng sắt, và sắt lên tình trạng kẽm) hoặc bổ sung phối hợp sắt và kẽm giúp chúng ta hiểu rõ hơn về ảnh hưởng tiêu cực (tác dụng phụ) liên quan tới tăng liều bổ sung 1-2 lần so với nhu cầu khuyến nghị. Vì vậy, cần có thêm các thông tin từ các nghiên cứu tương tác bổ sung sắt kẽm hay tăng cường sắt và kẽm phối hợp lên tăng trưởng và tình trạng vi chất. </w:t>
      </w:r>
    </w:p>
    <w:p w14:paraId="37FC7D64" w14:textId="77777777" w:rsidR="00221CFF" w:rsidRPr="009F3CFD" w:rsidRDefault="00221CFF" w:rsidP="00A1659D">
      <w:pPr>
        <w:spacing w:line="280" w:lineRule="exact"/>
        <w:ind w:firstLine="426"/>
        <w:jc w:val="both"/>
        <w:rPr>
          <w:sz w:val="22"/>
          <w:szCs w:val="22"/>
          <w:lang w:val="it-IT"/>
        </w:rPr>
      </w:pPr>
      <w:r w:rsidRPr="009F3CFD">
        <w:rPr>
          <w:sz w:val="22"/>
          <w:szCs w:val="22"/>
          <w:lang w:val="it-IT"/>
        </w:rPr>
        <w:t>Với việc nghiên cứu và tìm ra các giải pháp bổ sung vi chất dinh dưỡng phù hợp, phòng chống thiếu vi chất dinh dưỡng sắt và kẽm đặc biệt ở trẻ em dưới 5 tuổi suy dinh dưỡng thể thấp còi là rất cần thiết. Vì vậy, chúng tôi tiến hành đề tài: “Đánh giá tình trạng dinh dưỡng và kết quả bổ sung vi chất sắt, kẽm ở trẻ em 1-3 tuổi suy dinh dưỡng thấp còi tại một số tỉnh phía Bắc (2017- 2020)”. Tìm hiểu, bổ sung thêm một số kiến thức liên quan đến 2 vi chất sắt và kẽm. cung cấp thêm bằng chứng về việc bổ sung riêng rẽ vi chất Kẽm hay Sắt - Kẽm phối hợp lên tình trạng dinh dưỡng, tình trạng vi chất vi chât dinh dưỡng ở trẻ 1- 3 tuổi suy dinh dưỡng thấp còi.</w:t>
      </w:r>
    </w:p>
    <w:p w14:paraId="6C632E88" w14:textId="77777777" w:rsidR="00D76450" w:rsidRPr="009F3CFD" w:rsidRDefault="003A04DD" w:rsidP="00A1659D">
      <w:pPr>
        <w:spacing w:line="280" w:lineRule="exact"/>
        <w:ind w:firstLine="426"/>
        <w:jc w:val="both"/>
        <w:rPr>
          <w:b/>
          <w:sz w:val="22"/>
          <w:szCs w:val="22"/>
          <w:lang w:val="it-IT"/>
        </w:rPr>
      </w:pPr>
      <w:r w:rsidRPr="009F3CFD">
        <w:rPr>
          <w:b/>
          <w:sz w:val="22"/>
          <w:szCs w:val="22"/>
          <w:lang w:val="it-IT"/>
        </w:rPr>
        <w:lastRenderedPageBreak/>
        <w:t>Mục tiêu nghiên cứu:</w:t>
      </w:r>
    </w:p>
    <w:p w14:paraId="33FD1A02" w14:textId="77777777" w:rsidR="00221CFF" w:rsidRPr="009F3CFD" w:rsidRDefault="00221CFF" w:rsidP="00A1659D">
      <w:pPr>
        <w:spacing w:line="280" w:lineRule="exact"/>
        <w:ind w:firstLine="426"/>
        <w:jc w:val="both"/>
        <w:rPr>
          <w:sz w:val="22"/>
          <w:szCs w:val="22"/>
          <w:lang w:val="it-IT"/>
        </w:rPr>
      </w:pPr>
      <w:r w:rsidRPr="009F3CFD">
        <w:rPr>
          <w:sz w:val="22"/>
          <w:szCs w:val="22"/>
          <w:lang w:val="it-IT"/>
        </w:rPr>
        <w:t xml:space="preserve">1. Mô tả tỷ lệ </w:t>
      </w:r>
      <w:bookmarkStart w:id="4" w:name="_Hlk134108877"/>
      <w:r w:rsidRPr="009F3CFD">
        <w:rPr>
          <w:sz w:val="22"/>
          <w:szCs w:val="22"/>
          <w:lang w:val="it-IT"/>
        </w:rPr>
        <w:t xml:space="preserve">nhẹ cân, gầy còm, thiếu máu, thiếu sắt, thiếu kẽm trên trẻ 1-3 tuổi suy dinh dưỡng thấp còi ở một số xã </w:t>
      </w:r>
      <w:bookmarkEnd w:id="4"/>
      <w:r w:rsidRPr="009F3CFD">
        <w:rPr>
          <w:sz w:val="22"/>
          <w:szCs w:val="22"/>
          <w:lang w:val="it-IT"/>
        </w:rPr>
        <w:t>của tỉnh Hà Nam, Vĩnh Phúc, Phú Thọ năm 2017.</w:t>
      </w:r>
    </w:p>
    <w:p w14:paraId="0FDB8949" w14:textId="77777777" w:rsidR="00221CFF" w:rsidRPr="009F3CFD" w:rsidRDefault="00221CFF" w:rsidP="00A1659D">
      <w:pPr>
        <w:spacing w:line="280" w:lineRule="exact"/>
        <w:ind w:firstLine="426"/>
        <w:jc w:val="both"/>
        <w:rPr>
          <w:sz w:val="22"/>
          <w:szCs w:val="22"/>
          <w:lang w:val="it-IT"/>
        </w:rPr>
      </w:pPr>
      <w:r w:rsidRPr="009F3CFD">
        <w:rPr>
          <w:sz w:val="22"/>
          <w:szCs w:val="22"/>
          <w:lang w:val="it-IT"/>
        </w:rPr>
        <w:t xml:space="preserve">2. Đánh giá kết quả </w:t>
      </w:r>
      <w:bookmarkStart w:id="5" w:name="_Hlk134109206"/>
      <w:r w:rsidRPr="009F3CFD">
        <w:rPr>
          <w:sz w:val="22"/>
          <w:szCs w:val="22"/>
          <w:lang w:val="it-IT"/>
        </w:rPr>
        <w:t>giảm tỷ lệ suy dinh dưỡng, thiếu máu, thiếu sắt, thiếu kẽm trên trẻ 1-3 tuổi suy dinh dưỡng thấp còi</w:t>
      </w:r>
      <w:bookmarkEnd w:id="5"/>
      <w:r w:rsidRPr="009F3CFD">
        <w:rPr>
          <w:sz w:val="22"/>
          <w:szCs w:val="22"/>
          <w:lang w:val="it-IT"/>
        </w:rPr>
        <w:t xml:space="preserve"> ở nhóm </w:t>
      </w:r>
      <w:bookmarkStart w:id="6" w:name="_Hlk134109161"/>
      <w:r w:rsidRPr="009F3CFD">
        <w:rPr>
          <w:sz w:val="22"/>
          <w:szCs w:val="22"/>
          <w:lang w:val="it-IT"/>
        </w:rPr>
        <w:t>bổ sung vi chất kẽm hoặc nhóm phối hợp vi chất sắt và kẽm</w:t>
      </w:r>
      <w:bookmarkEnd w:id="6"/>
      <w:r w:rsidRPr="009F3CFD">
        <w:rPr>
          <w:sz w:val="22"/>
          <w:szCs w:val="22"/>
          <w:lang w:val="it-IT"/>
        </w:rPr>
        <w:t xml:space="preserve"> sau 6 tháng can thiệp.</w:t>
      </w:r>
    </w:p>
    <w:p w14:paraId="742E5EBA" w14:textId="77777777" w:rsidR="00D76450" w:rsidRPr="009F3CFD" w:rsidRDefault="003A04DD" w:rsidP="00A1659D">
      <w:pPr>
        <w:spacing w:line="280" w:lineRule="exact"/>
        <w:ind w:firstLine="426"/>
        <w:jc w:val="both"/>
        <w:rPr>
          <w:b/>
          <w:sz w:val="22"/>
          <w:szCs w:val="22"/>
          <w:lang w:val="it-IT"/>
        </w:rPr>
      </w:pPr>
      <w:r w:rsidRPr="009F3CFD">
        <w:rPr>
          <w:b/>
          <w:sz w:val="22"/>
          <w:szCs w:val="22"/>
          <w:lang w:val="it-IT"/>
        </w:rPr>
        <w:t>Những đóng góp của luận án</w:t>
      </w:r>
    </w:p>
    <w:p w14:paraId="31F50207" w14:textId="77777777" w:rsidR="00D76450" w:rsidRPr="009F3CFD" w:rsidRDefault="00D76450" w:rsidP="00A1659D">
      <w:pPr>
        <w:spacing w:line="280" w:lineRule="exact"/>
        <w:ind w:firstLine="426"/>
        <w:jc w:val="both"/>
        <w:rPr>
          <w:b/>
          <w:sz w:val="22"/>
          <w:szCs w:val="22"/>
          <w:lang w:val="it-IT"/>
        </w:rPr>
      </w:pPr>
      <w:r w:rsidRPr="009F3CFD">
        <w:rPr>
          <w:b/>
          <w:sz w:val="22"/>
          <w:szCs w:val="22"/>
          <w:lang w:val="it-IT"/>
        </w:rPr>
        <w:t>Cấu trúc của luận án:</w:t>
      </w:r>
    </w:p>
    <w:p w14:paraId="1F5B9525" w14:textId="77777777" w:rsidR="00D76450" w:rsidRPr="009F3CFD" w:rsidRDefault="00D76450" w:rsidP="00A1659D">
      <w:pPr>
        <w:spacing w:line="280" w:lineRule="exact"/>
        <w:ind w:firstLine="426"/>
        <w:jc w:val="both"/>
        <w:rPr>
          <w:sz w:val="22"/>
          <w:szCs w:val="22"/>
          <w:lang w:val="it-IT"/>
        </w:rPr>
      </w:pPr>
      <w:r w:rsidRPr="009F3CFD">
        <w:rPr>
          <w:sz w:val="22"/>
          <w:szCs w:val="22"/>
          <w:lang w:val="it-IT"/>
        </w:rPr>
        <w:t xml:space="preserve">Luận án gồm </w:t>
      </w:r>
      <w:r w:rsidR="00221CFF" w:rsidRPr="009F3CFD">
        <w:rPr>
          <w:sz w:val="22"/>
          <w:szCs w:val="22"/>
          <w:lang w:val="it-IT"/>
        </w:rPr>
        <w:t>180</w:t>
      </w:r>
      <w:r w:rsidRPr="009F3CFD">
        <w:rPr>
          <w:sz w:val="22"/>
          <w:szCs w:val="22"/>
          <w:lang w:val="it-IT"/>
        </w:rPr>
        <w:t xml:space="preserve"> trang</w:t>
      </w:r>
      <w:r w:rsidR="00137861" w:rsidRPr="009F3CFD">
        <w:rPr>
          <w:sz w:val="22"/>
          <w:szCs w:val="22"/>
          <w:lang w:val="it-IT"/>
        </w:rPr>
        <w:t xml:space="preserve"> với các phần</w:t>
      </w:r>
      <w:r w:rsidRPr="009F3CFD">
        <w:rPr>
          <w:sz w:val="22"/>
          <w:szCs w:val="22"/>
          <w:lang w:val="it-IT"/>
        </w:rPr>
        <w:t xml:space="preserve">: </w:t>
      </w:r>
      <w:r w:rsidR="00F73A80" w:rsidRPr="009F3CFD">
        <w:rPr>
          <w:sz w:val="22"/>
          <w:szCs w:val="22"/>
          <w:lang w:val="it-IT"/>
        </w:rPr>
        <w:t>Đặt vấn đề</w:t>
      </w:r>
      <w:r w:rsidR="00137861" w:rsidRPr="009F3CFD">
        <w:rPr>
          <w:sz w:val="22"/>
          <w:szCs w:val="22"/>
          <w:lang w:val="it-IT"/>
        </w:rPr>
        <w:t xml:space="preserve"> (</w:t>
      </w:r>
      <w:r w:rsidRPr="009F3CFD">
        <w:rPr>
          <w:sz w:val="22"/>
          <w:szCs w:val="22"/>
          <w:lang w:val="it-IT"/>
        </w:rPr>
        <w:t>0</w:t>
      </w:r>
      <w:r w:rsidR="00221CFF" w:rsidRPr="009F3CFD">
        <w:rPr>
          <w:sz w:val="22"/>
          <w:szCs w:val="22"/>
          <w:lang w:val="it-IT"/>
        </w:rPr>
        <w:t>2</w:t>
      </w:r>
      <w:r w:rsidRPr="009F3CFD">
        <w:rPr>
          <w:sz w:val="22"/>
          <w:szCs w:val="22"/>
          <w:lang w:val="it-IT"/>
        </w:rPr>
        <w:t xml:space="preserve"> trang</w:t>
      </w:r>
      <w:r w:rsidR="00137861" w:rsidRPr="009F3CFD">
        <w:rPr>
          <w:sz w:val="22"/>
          <w:szCs w:val="22"/>
          <w:lang w:val="it-IT"/>
        </w:rPr>
        <w:t>)</w:t>
      </w:r>
      <w:r w:rsidRPr="009F3CFD">
        <w:rPr>
          <w:sz w:val="22"/>
          <w:szCs w:val="22"/>
          <w:lang w:val="it-IT"/>
        </w:rPr>
        <w:t xml:space="preserve">; Chương 1 - Tổng quan </w:t>
      </w:r>
      <w:r w:rsidR="00F73A80" w:rsidRPr="009F3CFD">
        <w:rPr>
          <w:sz w:val="22"/>
          <w:szCs w:val="22"/>
          <w:lang w:val="it-IT"/>
        </w:rPr>
        <w:t xml:space="preserve">tài liệu </w:t>
      </w:r>
      <w:r w:rsidR="00137861" w:rsidRPr="009F3CFD">
        <w:rPr>
          <w:sz w:val="22"/>
          <w:szCs w:val="22"/>
          <w:lang w:val="it-IT"/>
        </w:rPr>
        <w:t>(</w:t>
      </w:r>
      <w:r w:rsidR="00221CFF" w:rsidRPr="009F3CFD">
        <w:rPr>
          <w:sz w:val="22"/>
          <w:szCs w:val="22"/>
          <w:lang w:val="it-IT"/>
        </w:rPr>
        <w:t>41</w:t>
      </w:r>
      <w:r w:rsidRPr="009F3CFD">
        <w:rPr>
          <w:sz w:val="22"/>
          <w:szCs w:val="22"/>
          <w:lang w:val="it-IT"/>
        </w:rPr>
        <w:t xml:space="preserve"> trang</w:t>
      </w:r>
      <w:r w:rsidR="00137861" w:rsidRPr="009F3CFD">
        <w:rPr>
          <w:sz w:val="22"/>
          <w:szCs w:val="22"/>
          <w:lang w:val="it-IT"/>
        </w:rPr>
        <w:t>)</w:t>
      </w:r>
      <w:r w:rsidRPr="009F3CFD">
        <w:rPr>
          <w:sz w:val="22"/>
          <w:szCs w:val="22"/>
          <w:lang w:val="it-IT"/>
        </w:rPr>
        <w:t xml:space="preserve">; Chương 2 </w:t>
      </w:r>
      <w:r w:rsidR="00F73A80" w:rsidRPr="009F3CFD">
        <w:rPr>
          <w:sz w:val="22"/>
          <w:szCs w:val="22"/>
          <w:lang w:val="it-IT"/>
        </w:rPr>
        <w:t>–</w:t>
      </w:r>
      <w:r w:rsidRPr="009F3CFD">
        <w:rPr>
          <w:sz w:val="22"/>
          <w:szCs w:val="22"/>
          <w:lang w:val="it-IT"/>
        </w:rPr>
        <w:t xml:space="preserve"> </w:t>
      </w:r>
      <w:r w:rsidR="00F73A80" w:rsidRPr="009F3CFD">
        <w:rPr>
          <w:sz w:val="22"/>
          <w:szCs w:val="22"/>
          <w:lang w:val="it-IT"/>
        </w:rPr>
        <w:t>Đối tượng</w:t>
      </w:r>
      <w:r w:rsidRPr="009F3CFD">
        <w:rPr>
          <w:sz w:val="22"/>
          <w:szCs w:val="22"/>
          <w:lang w:val="it-IT"/>
        </w:rPr>
        <w:t xml:space="preserve"> và phương pháp nghiên cứu </w:t>
      </w:r>
      <w:r w:rsidR="00137861" w:rsidRPr="009F3CFD">
        <w:rPr>
          <w:sz w:val="22"/>
          <w:szCs w:val="22"/>
          <w:lang w:val="it-IT"/>
        </w:rPr>
        <w:t>(</w:t>
      </w:r>
      <w:r w:rsidRPr="009F3CFD">
        <w:rPr>
          <w:sz w:val="22"/>
          <w:szCs w:val="22"/>
          <w:lang w:val="it-IT"/>
        </w:rPr>
        <w:t>2</w:t>
      </w:r>
      <w:r w:rsidR="00F73A80" w:rsidRPr="009F3CFD">
        <w:rPr>
          <w:sz w:val="22"/>
          <w:szCs w:val="22"/>
          <w:lang w:val="it-IT"/>
        </w:rPr>
        <w:t>0</w:t>
      </w:r>
      <w:r w:rsidRPr="009F3CFD">
        <w:rPr>
          <w:sz w:val="22"/>
          <w:szCs w:val="22"/>
          <w:lang w:val="it-IT"/>
        </w:rPr>
        <w:t xml:space="preserve"> trang</w:t>
      </w:r>
      <w:r w:rsidR="00137861" w:rsidRPr="009F3CFD">
        <w:rPr>
          <w:sz w:val="22"/>
          <w:szCs w:val="22"/>
          <w:lang w:val="it-IT"/>
        </w:rPr>
        <w:t>)</w:t>
      </w:r>
      <w:r w:rsidRPr="009F3CFD">
        <w:rPr>
          <w:sz w:val="22"/>
          <w:szCs w:val="22"/>
          <w:lang w:val="it-IT"/>
        </w:rPr>
        <w:t xml:space="preserve">; Chương 3 - Kết quả </w:t>
      </w:r>
      <w:r w:rsidR="00F73A80" w:rsidRPr="009F3CFD">
        <w:rPr>
          <w:sz w:val="22"/>
          <w:szCs w:val="22"/>
          <w:lang w:val="it-IT"/>
        </w:rPr>
        <w:t>nghiên cứu</w:t>
      </w:r>
      <w:r w:rsidR="00137861" w:rsidRPr="009F3CFD">
        <w:rPr>
          <w:sz w:val="22"/>
          <w:szCs w:val="22"/>
          <w:lang w:val="it-IT"/>
        </w:rPr>
        <w:t xml:space="preserve"> (</w:t>
      </w:r>
      <w:r w:rsidR="00221CFF" w:rsidRPr="009F3CFD">
        <w:rPr>
          <w:sz w:val="22"/>
          <w:szCs w:val="22"/>
          <w:lang w:val="it-IT"/>
        </w:rPr>
        <w:t>30</w:t>
      </w:r>
      <w:r w:rsidRPr="009F3CFD">
        <w:rPr>
          <w:sz w:val="22"/>
          <w:szCs w:val="22"/>
          <w:lang w:val="it-IT"/>
        </w:rPr>
        <w:t xml:space="preserve"> trang</w:t>
      </w:r>
      <w:r w:rsidR="00137861" w:rsidRPr="009F3CFD">
        <w:rPr>
          <w:sz w:val="22"/>
          <w:szCs w:val="22"/>
          <w:lang w:val="it-IT"/>
        </w:rPr>
        <w:t>)</w:t>
      </w:r>
      <w:r w:rsidRPr="009F3CFD">
        <w:rPr>
          <w:sz w:val="22"/>
          <w:szCs w:val="22"/>
          <w:lang w:val="it-IT"/>
        </w:rPr>
        <w:t xml:space="preserve">; </w:t>
      </w:r>
      <w:r w:rsidR="00F73A80" w:rsidRPr="009F3CFD">
        <w:rPr>
          <w:sz w:val="22"/>
          <w:szCs w:val="22"/>
          <w:lang w:val="it-IT"/>
        </w:rPr>
        <w:t>Chương 4 – Bàn luận</w:t>
      </w:r>
      <w:r w:rsidRPr="009F3CFD">
        <w:rPr>
          <w:sz w:val="22"/>
          <w:szCs w:val="22"/>
          <w:lang w:val="it-IT"/>
        </w:rPr>
        <w:t xml:space="preserve"> </w:t>
      </w:r>
      <w:r w:rsidR="00137861" w:rsidRPr="009F3CFD">
        <w:rPr>
          <w:sz w:val="22"/>
          <w:szCs w:val="22"/>
          <w:lang w:val="it-IT"/>
        </w:rPr>
        <w:t>(</w:t>
      </w:r>
      <w:r w:rsidR="00F73A80" w:rsidRPr="009F3CFD">
        <w:rPr>
          <w:sz w:val="22"/>
          <w:szCs w:val="22"/>
          <w:lang w:val="it-IT"/>
        </w:rPr>
        <w:t>20</w:t>
      </w:r>
      <w:r w:rsidRPr="009F3CFD">
        <w:rPr>
          <w:sz w:val="22"/>
          <w:szCs w:val="22"/>
          <w:lang w:val="it-IT"/>
        </w:rPr>
        <w:t xml:space="preserve"> trang</w:t>
      </w:r>
      <w:r w:rsidR="00137861" w:rsidRPr="009F3CFD">
        <w:rPr>
          <w:sz w:val="22"/>
          <w:szCs w:val="22"/>
          <w:lang w:val="it-IT"/>
        </w:rPr>
        <w:t>)</w:t>
      </w:r>
      <w:r w:rsidRPr="009F3CFD">
        <w:rPr>
          <w:sz w:val="22"/>
          <w:szCs w:val="22"/>
          <w:lang w:val="it-IT"/>
        </w:rPr>
        <w:t xml:space="preserve">; </w:t>
      </w:r>
      <w:r w:rsidR="00221CFF" w:rsidRPr="009F3CFD">
        <w:rPr>
          <w:sz w:val="22"/>
          <w:szCs w:val="22"/>
          <w:lang w:val="it-IT"/>
        </w:rPr>
        <w:t>Kết luận (28</w:t>
      </w:r>
      <w:r w:rsidR="00F73A80" w:rsidRPr="009F3CFD">
        <w:rPr>
          <w:sz w:val="22"/>
          <w:szCs w:val="22"/>
          <w:lang w:val="it-IT"/>
        </w:rPr>
        <w:t xml:space="preserve"> trang); Khuyến nghị (01 trang); </w:t>
      </w:r>
      <w:r w:rsidRPr="009F3CFD">
        <w:rPr>
          <w:sz w:val="22"/>
          <w:szCs w:val="22"/>
          <w:lang w:val="it-IT"/>
        </w:rPr>
        <w:t>Tài liệu tham khảo</w:t>
      </w:r>
      <w:r w:rsidR="00137861" w:rsidRPr="009F3CFD">
        <w:rPr>
          <w:sz w:val="22"/>
          <w:szCs w:val="22"/>
          <w:lang w:val="it-IT"/>
        </w:rPr>
        <w:t xml:space="preserve"> (</w:t>
      </w:r>
      <w:r w:rsidR="00221CFF" w:rsidRPr="009F3CFD">
        <w:rPr>
          <w:sz w:val="22"/>
          <w:szCs w:val="22"/>
          <w:lang w:val="it-IT"/>
        </w:rPr>
        <w:t>171</w:t>
      </w:r>
      <w:r w:rsidRPr="009F3CFD">
        <w:rPr>
          <w:sz w:val="22"/>
          <w:szCs w:val="22"/>
          <w:lang w:val="it-IT"/>
        </w:rPr>
        <w:t xml:space="preserve"> tài liệu</w:t>
      </w:r>
      <w:r w:rsidR="00137861" w:rsidRPr="009F3CFD">
        <w:rPr>
          <w:sz w:val="22"/>
          <w:szCs w:val="22"/>
          <w:lang w:val="it-IT"/>
        </w:rPr>
        <w:t>)</w:t>
      </w:r>
      <w:r w:rsidRPr="009F3CFD">
        <w:rPr>
          <w:sz w:val="22"/>
          <w:szCs w:val="22"/>
          <w:lang w:val="it-IT"/>
        </w:rPr>
        <w:t xml:space="preserve">; Danh mục các công trình đã công bố </w:t>
      </w:r>
      <w:r w:rsidR="00137861" w:rsidRPr="009F3CFD">
        <w:rPr>
          <w:sz w:val="22"/>
          <w:szCs w:val="22"/>
          <w:lang w:val="it-IT"/>
        </w:rPr>
        <w:t>của</w:t>
      </w:r>
      <w:r w:rsidR="0080492D" w:rsidRPr="009F3CFD">
        <w:rPr>
          <w:sz w:val="22"/>
          <w:szCs w:val="22"/>
          <w:lang w:val="it-IT"/>
        </w:rPr>
        <w:t xml:space="preserve"> luận án</w:t>
      </w:r>
      <w:r w:rsidR="00137861" w:rsidRPr="009F3CFD">
        <w:rPr>
          <w:sz w:val="22"/>
          <w:szCs w:val="22"/>
          <w:lang w:val="it-IT"/>
        </w:rPr>
        <w:t xml:space="preserve"> (</w:t>
      </w:r>
      <w:r w:rsidR="00F73A80" w:rsidRPr="009F3CFD">
        <w:rPr>
          <w:sz w:val="22"/>
          <w:szCs w:val="22"/>
          <w:lang w:val="it-IT"/>
        </w:rPr>
        <w:t>02</w:t>
      </w:r>
      <w:r w:rsidR="00137861" w:rsidRPr="009F3CFD">
        <w:rPr>
          <w:sz w:val="22"/>
          <w:szCs w:val="22"/>
          <w:lang w:val="it-IT"/>
        </w:rPr>
        <w:t xml:space="preserve"> công trình);</w:t>
      </w:r>
      <w:r w:rsidR="0080492D" w:rsidRPr="009F3CFD">
        <w:rPr>
          <w:sz w:val="22"/>
          <w:szCs w:val="22"/>
          <w:lang w:val="it-IT"/>
        </w:rPr>
        <w:t xml:space="preserve"> </w:t>
      </w:r>
      <w:r w:rsidR="00322E94" w:rsidRPr="009F3CFD">
        <w:rPr>
          <w:sz w:val="22"/>
          <w:szCs w:val="22"/>
          <w:lang w:val="it-IT"/>
        </w:rPr>
        <w:t>Luận án c</w:t>
      </w:r>
      <w:r w:rsidR="0080492D" w:rsidRPr="009F3CFD">
        <w:rPr>
          <w:sz w:val="22"/>
          <w:szCs w:val="22"/>
          <w:lang w:val="it-IT"/>
        </w:rPr>
        <w:t xml:space="preserve">ó </w:t>
      </w:r>
      <w:r w:rsidR="00221CFF" w:rsidRPr="009F3CFD">
        <w:rPr>
          <w:sz w:val="22"/>
          <w:szCs w:val="22"/>
          <w:lang w:val="it-IT"/>
        </w:rPr>
        <w:t>37</w:t>
      </w:r>
      <w:r w:rsidRPr="009F3CFD">
        <w:rPr>
          <w:sz w:val="22"/>
          <w:szCs w:val="22"/>
          <w:lang w:val="it-IT"/>
        </w:rPr>
        <w:t xml:space="preserve"> bảng, </w:t>
      </w:r>
      <w:r w:rsidR="00221CFF" w:rsidRPr="009F3CFD">
        <w:rPr>
          <w:sz w:val="22"/>
          <w:szCs w:val="22"/>
          <w:lang w:val="it-IT"/>
        </w:rPr>
        <w:t>3</w:t>
      </w:r>
      <w:r w:rsidRPr="009F3CFD">
        <w:rPr>
          <w:sz w:val="22"/>
          <w:szCs w:val="22"/>
          <w:lang w:val="it-IT"/>
        </w:rPr>
        <w:t xml:space="preserve"> hình vẽ và đồ thị.</w:t>
      </w:r>
    </w:p>
    <w:p w14:paraId="177574AD" w14:textId="77777777" w:rsidR="00D76450" w:rsidRPr="009F3CFD" w:rsidRDefault="00D76450" w:rsidP="00B56CC9">
      <w:pPr>
        <w:spacing w:before="240" w:after="60"/>
        <w:jc w:val="center"/>
        <w:rPr>
          <w:b/>
          <w:sz w:val="22"/>
          <w:szCs w:val="22"/>
          <w:lang w:val="it-IT"/>
        </w:rPr>
      </w:pPr>
      <w:r w:rsidRPr="009F3CFD">
        <w:rPr>
          <w:b/>
          <w:sz w:val="22"/>
          <w:szCs w:val="22"/>
          <w:lang w:val="it-IT"/>
        </w:rPr>
        <w:t xml:space="preserve">CHƯƠNG </w:t>
      </w:r>
      <w:r w:rsidR="006150E8">
        <w:rPr>
          <w:b/>
          <w:sz w:val="22"/>
          <w:szCs w:val="22"/>
          <w:lang w:val="it-IT"/>
        </w:rPr>
        <w:t>I</w:t>
      </w:r>
      <w:r w:rsidRPr="009F3CFD">
        <w:rPr>
          <w:b/>
          <w:sz w:val="22"/>
          <w:szCs w:val="22"/>
          <w:lang w:val="it-IT"/>
        </w:rPr>
        <w:t>. TỔNG QUAN</w:t>
      </w:r>
    </w:p>
    <w:p w14:paraId="4FA0AC88" w14:textId="460709CA" w:rsidR="006F506C" w:rsidRPr="009F3CFD" w:rsidRDefault="00435DAF" w:rsidP="00A1659D">
      <w:pPr>
        <w:spacing w:line="280" w:lineRule="exact"/>
        <w:ind w:firstLine="426"/>
        <w:jc w:val="both"/>
        <w:rPr>
          <w:b/>
          <w:bCs/>
          <w:iCs/>
          <w:sz w:val="22"/>
          <w:szCs w:val="22"/>
          <w:lang w:val="it-IT"/>
        </w:rPr>
      </w:pPr>
      <w:r>
        <w:rPr>
          <w:b/>
          <w:bCs/>
          <w:iCs/>
          <w:sz w:val="22"/>
          <w:szCs w:val="22"/>
          <w:lang w:val="it-IT"/>
        </w:rPr>
        <w:t>1.1</w:t>
      </w:r>
      <w:r w:rsidR="006F506C" w:rsidRPr="009F3CFD">
        <w:rPr>
          <w:b/>
          <w:bCs/>
          <w:iCs/>
          <w:sz w:val="22"/>
          <w:szCs w:val="22"/>
          <w:lang w:val="it-IT"/>
        </w:rPr>
        <w:t>.Tương tác giữa sắt và kẽm và nghiên cứu về hiệu quả của bổ sung kẽm</w:t>
      </w:r>
    </w:p>
    <w:p w14:paraId="6207C4F5" w14:textId="77777777" w:rsidR="006F506C" w:rsidRPr="009F3CFD" w:rsidRDefault="006F506C" w:rsidP="00A1659D">
      <w:pPr>
        <w:spacing w:line="280" w:lineRule="exact"/>
        <w:ind w:firstLine="426"/>
        <w:jc w:val="both"/>
        <w:rPr>
          <w:bCs/>
          <w:iCs/>
          <w:sz w:val="22"/>
          <w:szCs w:val="22"/>
          <w:lang w:val="it-IT"/>
        </w:rPr>
      </w:pPr>
      <w:r w:rsidRPr="009F3CFD">
        <w:rPr>
          <w:bCs/>
          <w:iCs/>
          <w:sz w:val="22"/>
          <w:szCs w:val="22"/>
          <w:lang w:val="it-IT"/>
        </w:rPr>
        <w:t xml:space="preserve">Khi sắt và kẽm được sử dụng cùng nhau thông qua tăng cường vi chất vào thực phẩm, hay qua bổ sung vi chất, cần chú ý là hai chất khoáng này có tương tác sinh học với nhau. Do có cơ chế hấp thu và vận chuyển tương tự nhau về mặt hóa học, nên sắt và kẽm được cho là có thể cạnh tranh hấp thu. Nghiên cứu nuôi cấy tế bào cho thấy, sắt ức chế hấp thu kẽm trong một số tế bào khi tỷ lệ sắt:kẽm rất cao. Tuy nhiên, cần tiến hành các nghiên cứu để tìm hiểu về tác dụng đối nghịch này khi bổ sung phối hợp với tỷ lệ sắt:kẽm ở mức thấp lên tình trạng sắt, kẽm, vi chất khác, và tình trạng bệnh tật. Đánh giá hiệu quả của việc bổ sung riêng rẽ sắt hay kẽm lên tình trạng vi chất khác (sắt ảnh hưởng lên kẽm, kẽm ảnh hưởng lên sắt) giúp chúng ta hiểu biết rõ hơn về tác dụng phụ liên quan tới sử dụng liều bổ sung với tỷ lệ 1:1 hoặc </w:t>
      </w:r>
      <w:r w:rsidRPr="009F3CFD">
        <w:rPr>
          <w:bCs/>
          <w:iCs/>
          <w:sz w:val="22"/>
          <w:szCs w:val="22"/>
          <w:lang w:val="it-IT"/>
        </w:rPr>
        <w:lastRenderedPageBreak/>
        <w:t>2:1 so với nhu cầu khuyến nghị. Kordas và stoltzfus đã đưa ra giả thuyết về tương tác vi chất tại ruột. Cả sắt và kẽm đều có vai trò quan trọng đối với các bộ phận cơ thể, và chúng có khả năng tương tác tại các cơ quan như hệ thống thần kinh. Mặc dù các chức năng riêng rẽ của sắt và kẽm lên hệ thống thần kinh đã được nghiên cứu, nhưng các nghiên cứu về tác dụng phối hợp sắt và kẽm còn hạn chế. Vì vậy, cần có các nghiên cứu tìm hiểu thêm về tác dụng hay ảnh hưởng của bổ sung/tăng cường vi chất sắt và kẽm lên tăng trưởng, phát triển, nguy cơ mắc bệnh.</w:t>
      </w:r>
    </w:p>
    <w:p w14:paraId="5F1BC5E4" w14:textId="77777777" w:rsidR="006F506C" w:rsidRPr="009F3CFD" w:rsidRDefault="006F506C" w:rsidP="00A1659D">
      <w:pPr>
        <w:spacing w:line="280" w:lineRule="exact"/>
        <w:ind w:firstLine="426"/>
        <w:jc w:val="both"/>
        <w:rPr>
          <w:bCs/>
          <w:iCs/>
          <w:sz w:val="22"/>
          <w:szCs w:val="22"/>
          <w:lang w:val="it-IT"/>
        </w:rPr>
      </w:pPr>
      <w:r w:rsidRPr="009F3CFD">
        <w:rPr>
          <w:bCs/>
          <w:iCs/>
          <w:sz w:val="22"/>
          <w:szCs w:val="22"/>
          <w:lang w:val="it-IT"/>
        </w:rPr>
        <w:t>Kẽm có thể ảnh hưởng tới hấp thu sắt, ngược lại, sắt cũng có thể ảnh hưởng tới hấp thu kẽm, do đó để hạn chế ảnh hưởng này, người ta đã bổ sung sắt và kẽm vào thực phẩm với tỷ lệ sắt:kẽm là 1:1. Tại ruột non ở người trưởng thành, khi tỷ số giữa sulphat sắt và sulphat kẽm là 1:1 thì sự ức chế hấp thu kẽm là nhỏ, nhưng khi tỷ lệ này là 2: 1 và 3: 1 thì sự ức chế hấp thu kẽm tăng lên.</w:t>
      </w:r>
    </w:p>
    <w:p w14:paraId="4783A254" w14:textId="5EA0D208" w:rsidR="006F506C" w:rsidRPr="009F3CFD" w:rsidRDefault="007B4414" w:rsidP="00A1659D">
      <w:pPr>
        <w:spacing w:line="280" w:lineRule="exact"/>
        <w:ind w:firstLine="426"/>
        <w:jc w:val="both"/>
        <w:rPr>
          <w:b/>
          <w:bCs/>
          <w:iCs/>
          <w:sz w:val="22"/>
          <w:szCs w:val="22"/>
          <w:lang w:val="pt-BR"/>
        </w:rPr>
      </w:pPr>
      <w:r>
        <w:rPr>
          <w:b/>
          <w:bCs/>
          <w:iCs/>
          <w:sz w:val="22"/>
          <w:szCs w:val="22"/>
          <w:lang w:val="pt-BR"/>
        </w:rPr>
        <w:t>1.2</w:t>
      </w:r>
      <w:r w:rsidR="006F506C" w:rsidRPr="009F3CFD">
        <w:rPr>
          <w:b/>
          <w:bCs/>
          <w:iCs/>
          <w:sz w:val="22"/>
          <w:szCs w:val="22"/>
          <w:lang w:val="pt-BR"/>
        </w:rPr>
        <w:t xml:space="preserve">.Sự cần thiết phải bổ sung sắt và kẽm cho trẻ dưới 5 tuổi </w:t>
      </w:r>
    </w:p>
    <w:p w14:paraId="1FF75CF0" w14:textId="77777777" w:rsidR="006F506C" w:rsidRPr="009F3CFD" w:rsidRDefault="006F506C" w:rsidP="00A1659D">
      <w:pPr>
        <w:spacing w:line="280" w:lineRule="exact"/>
        <w:ind w:firstLine="426"/>
        <w:jc w:val="both"/>
        <w:rPr>
          <w:bCs/>
          <w:iCs/>
          <w:sz w:val="22"/>
          <w:szCs w:val="22"/>
          <w:lang w:val="pt-BR"/>
        </w:rPr>
      </w:pPr>
      <w:r w:rsidRPr="009F3CFD">
        <w:rPr>
          <w:bCs/>
          <w:iCs/>
          <w:sz w:val="22"/>
          <w:szCs w:val="22"/>
          <w:lang w:val="pt-BR"/>
        </w:rPr>
        <w:t xml:space="preserve">Trẻ em dưới 5 tuổi có nguy cơ cao bị thiếu sắt, thiếu kẽm. Thức ăn bổ sung không cung cấp đủ sắt cho trẻ từ 6 tháng tuổi trở lên làm trẻ bị thiếu sắt. Trẻ có cân nặng sơ sinh thấp có nguy cơ bị thiếu hụt sắt cao hơn, tốc độ nhanh hơn so với trẻ có cân nặng bình thường. </w:t>
      </w:r>
      <w:r w:rsidR="00774D38">
        <w:rPr>
          <w:bCs/>
          <w:iCs/>
          <w:sz w:val="22"/>
          <w:szCs w:val="22"/>
          <w:lang w:val="pt-BR"/>
        </w:rPr>
        <w:t>K</w:t>
      </w:r>
      <w:r w:rsidRPr="009F3CFD">
        <w:rPr>
          <w:bCs/>
          <w:iCs/>
          <w:sz w:val="22"/>
          <w:szCs w:val="22"/>
          <w:lang w:val="pt-BR"/>
        </w:rPr>
        <w:t xml:space="preserve">hẩu phần ăn của trẻ dưới 5 tuổi tại các nước đang phát triển thường chứa ít thịt, hải sản. </w:t>
      </w:r>
      <w:r w:rsidR="00774D38">
        <w:rPr>
          <w:bCs/>
          <w:iCs/>
          <w:sz w:val="22"/>
          <w:szCs w:val="22"/>
          <w:lang w:val="pt-BR"/>
        </w:rPr>
        <w:t>K</w:t>
      </w:r>
      <w:r w:rsidRPr="009F3CFD">
        <w:rPr>
          <w:bCs/>
          <w:iCs/>
          <w:sz w:val="22"/>
          <w:szCs w:val="22"/>
          <w:lang w:val="pt-BR"/>
        </w:rPr>
        <w:t>ẽm vẫn chưa được khuyến nghị bổ sung hàng ngày, nhưng kẽm có tác dụng làm giảm tỷ lệ tiêu chảy và viêm phổi. Tổ chức Y tế thế giới đã có hướng dẫn sử dụng kẽm để điều trị tiêu chảy cho trẻ em dưới 5 tuổi.</w:t>
      </w:r>
    </w:p>
    <w:p w14:paraId="6FB536A8" w14:textId="77777777" w:rsidR="00D76450" w:rsidRPr="001F2387" w:rsidRDefault="00D76450" w:rsidP="00B56CC9">
      <w:pPr>
        <w:spacing w:before="240" w:after="60"/>
        <w:jc w:val="both"/>
        <w:rPr>
          <w:b/>
          <w:spacing w:val="-4"/>
          <w:sz w:val="22"/>
          <w:szCs w:val="22"/>
          <w:lang w:val="pt-BR"/>
        </w:rPr>
      </w:pPr>
      <w:r w:rsidRPr="001F2387">
        <w:rPr>
          <w:b/>
          <w:spacing w:val="-4"/>
          <w:sz w:val="22"/>
          <w:szCs w:val="22"/>
          <w:lang w:val="pt-BR"/>
        </w:rPr>
        <w:t xml:space="preserve">CHƯƠNG </w:t>
      </w:r>
      <w:r w:rsidR="00A1659D">
        <w:rPr>
          <w:b/>
          <w:spacing w:val="-4"/>
          <w:sz w:val="22"/>
          <w:szCs w:val="22"/>
          <w:lang w:val="pt-BR"/>
        </w:rPr>
        <w:t>II</w:t>
      </w:r>
      <w:r w:rsidRPr="001F2387">
        <w:rPr>
          <w:b/>
          <w:spacing w:val="-4"/>
          <w:sz w:val="22"/>
          <w:szCs w:val="22"/>
          <w:lang w:val="pt-BR"/>
        </w:rPr>
        <w:t>.</w:t>
      </w:r>
      <w:r w:rsidR="00322E94" w:rsidRPr="001F2387">
        <w:rPr>
          <w:b/>
          <w:spacing w:val="-4"/>
          <w:sz w:val="22"/>
          <w:szCs w:val="22"/>
          <w:lang w:val="pt-BR"/>
        </w:rPr>
        <w:t xml:space="preserve"> </w:t>
      </w:r>
      <w:r w:rsidR="00F73A80" w:rsidRPr="001F2387">
        <w:rPr>
          <w:b/>
          <w:spacing w:val="-4"/>
          <w:sz w:val="22"/>
          <w:szCs w:val="22"/>
          <w:lang w:val="pt-BR"/>
        </w:rPr>
        <w:t>ĐỐI TƯỢNG</w:t>
      </w:r>
      <w:r w:rsidR="0023700F" w:rsidRPr="001F2387">
        <w:rPr>
          <w:b/>
          <w:spacing w:val="-4"/>
          <w:sz w:val="22"/>
          <w:szCs w:val="22"/>
          <w:lang w:val="pt-BR"/>
        </w:rPr>
        <w:t xml:space="preserve"> VÀ PHƯƠNG PHÁP NGHIÊN CỨU</w:t>
      </w:r>
    </w:p>
    <w:p w14:paraId="15FEB236" w14:textId="77777777" w:rsidR="006F506C" w:rsidRPr="009F3CFD" w:rsidRDefault="006F506C" w:rsidP="00A1659D">
      <w:pPr>
        <w:spacing w:line="280" w:lineRule="exact"/>
        <w:ind w:firstLine="426"/>
        <w:jc w:val="both"/>
        <w:rPr>
          <w:b/>
          <w:bCs/>
          <w:iCs/>
          <w:sz w:val="22"/>
          <w:szCs w:val="22"/>
          <w:lang w:val="it-IT"/>
        </w:rPr>
      </w:pPr>
      <w:r w:rsidRPr="009F3CFD">
        <w:rPr>
          <w:b/>
          <w:bCs/>
          <w:iCs/>
          <w:sz w:val="22"/>
          <w:szCs w:val="22"/>
          <w:lang w:val="it-IT"/>
        </w:rPr>
        <w:t>2.1. Đối tượng và địa điểm nghiên cứu</w:t>
      </w:r>
    </w:p>
    <w:p w14:paraId="670779BD" w14:textId="77777777" w:rsidR="006F506C" w:rsidRPr="009F3CFD" w:rsidRDefault="006F506C" w:rsidP="00A1659D">
      <w:pPr>
        <w:spacing w:line="280" w:lineRule="exact"/>
        <w:ind w:firstLine="426"/>
        <w:jc w:val="both"/>
        <w:rPr>
          <w:b/>
          <w:bCs/>
          <w:iCs/>
          <w:sz w:val="22"/>
          <w:szCs w:val="22"/>
          <w:lang w:val="it-IT"/>
        </w:rPr>
      </w:pPr>
      <w:r w:rsidRPr="009F3CFD">
        <w:rPr>
          <w:b/>
          <w:bCs/>
          <w:iCs/>
          <w:sz w:val="22"/>
          <w:szCs w:val="22"/>
          <w:lang w:val="it-IT"/>
        </w:rPr>
        <w:t>2.1.1. Đối tượng nghiên cứu</w:t>
      </w:r>
    </w:p>
    <w:p w14:paraId="24D62360" w14:textId="77777777" w:rsidR="006F506C" w:rsidRPr="009F3CFD" w:rsidRDefault="006F506C" w:rsidP="00A1659D">
      <w:pPr>
        <w:spacing w:line="280" w:lineRule="exact"/>
        <w:ind w:firstLine="426"/>
        <w:jc w:val="both"/>
        <w:rPr>
          <w:bCs/>
          <w:iCs/>
          <w:sz w:val="22"/>
          <w:szCs w:val="22"/>
          <w:lang w:val="it-IT"/>
        </w:rPr>
      </w:pPr>
      <w:r w:rsidRPr="009F3CFD">
        <w:rPr>
          <w:bCs/>
          <w:iCs/>
          <w:sz w:val="22"/>
          <w:szCs w:val="22"/>
          <w:lang w:val="it-IT"/>
        </w:rPr>
        <w:t>Trẻ em 1-3 tuổi</w:t>
      </w:r>
      <w:r w:rsidR="00774D38">
        <w:rPr>
          <w:bCs/>
          <w:iCs/>
          <w:sz w:val="22"/>
          <w:szCs w:val="22"/>
          <w:lang w:val="it-IT"/>
        </w:rPr>
        <w:t xml:space="preserve"> thấp còi</w:t>
      </w:r>
      <w:r w:rsidRPr="009F3CFD">
        <w:rPr>
          <w:bCs/>
          <w:iCs/>
          <w:sz w:val="22"/>
          <w:szCs w:val="22"/>
          <w:lang w:val="it-IT"/>
        </w:rPr>
        <w:t xml:space="preserve">. </w:t>
      </w:r>
    </w:p>
    <w:p w14:paraId="4617D9F0" w14:textId="77777777" w:rsidR="006F506C" w:rsidRPr="009F3CFD" w:rsidRDefault="006F506C" w:rsidP="00A1659D">
      <w:pPr>
        <w:spacing w:line="280" w:lineRule="exact"/>
        <w:ind w:firstLine="426"/>
        <w:jc w:val="both"/>
        <w:rPr>
          <w:bCs/>
          <w:iCs/>
          <w:sz w:val="22"/>
          <w:szCs w:val="22"/>
          <w:lang w:val="it-IT"/>
        </w:rPr>
      </w:pPr>
      <w:r w:rsidRPr="009F3CFD">
        <w:rPr>
          <w:bCs/>
          <w:iCs/>
          <w:sz w:val="22"/>
          <w:szCs w:val="22"/>
          <w:lang w:val="it-IT"/>
        </w:rPr>
        <w:t>Bà mẹ (hoặc người nuôi dưỡng) có trẻ em 1-3 tuổi</w:t>
      </w:r>
      <w:r w:rsidR="00774D38">
        <w:rPr>
          <w:bCs/>
          <w:iCs/>
          <w:sz w:val="22"/>
          <w:szCs w:val="22"/>
          <w:lang w:val="it-IT"/>
        </w:rPr>
        <w:t xml:space="preserve"> thấp còi</w:t>
      </w:r>
      <w:r w:rsidRPr="009F3CFD">
        <w:rPr>
          <w:bCs/>
          <w:iCs/>
          <w:sz w:val="22"/>
          <w:szCs w:val="22"/>
          <w:lang w:val="it-IT"/>
        </w:rPr>
        <w:t xml:space="preserve">. </w:t>
      </w:r>
    </w:p>
    <w:p w14:paraId="1C10B1A5" w14:textId="77777777" w:rsidR="006150E8" w:rsidRDefault="006F506C" w:rsidP="00A1659D">
      <w:pPr>
        <w:spacing w:line="280" w:lineRule="exact"/>
        <w:ind w:firstLine="426"/>
        <w:jc w:val="both"/>
        <w:rPr>
          <w:bCs/>
          <w:iCs/>
          <w:sz w:val="22"/>
          <w:szCs w:val="22"/>
          <w:lang w:val="it-IT"/>
        </w:rPr>
      </w:pPr>
      <w:r w:rsidRPr="009F3CFD">
        <w:rPr>
          <w:b/>
          <w:bCs/>
          <w:iCs/>
          <w:sz w:val="22"/>
          <w:szCs w:val="22"/>
          <w:lang w:val="it-IT"/>
        </w:rPr>
        <w:t>2.1.2. Địa điểm nghiên cứu</w:t>
      </w:r>
      <w:r w:rsidR="006150E8">
        <w:rPr>
          <w:b/>
          <w:bCs/>
          <w:iCs/>
          <w:sz w:val="22"/>
          <w:szCs w:val="22"/>
          <w:lang w:val="it-IT"/>
        </w:rPr>
        <w:t xml:space="preserve">: </w:t>
      </w:r>
      <w:r w:rsidRPr="009F3CFD">
        <w:rPr>
          <w:bCs/>
          <w:iCs/>
          <w:sz w:val="22"/>
          <w:szCs w:val="22"/>
          <w:lang w:val="it-IT"/>
        </w:rPr>
        <w:t xml:space="preserve">Chọn có chủ đích: Địa điểm triển khai nghiên cứu, thu thập số liệu là các xã miền núi thuộc tỉnh Phú </w:t>
      </w:r>
      <w:r w:rsidRPr="009F3CFD">
        <w:rPr>
          <w:bCs/>
          <w:iCs/>
          <w:sz w:val="22"/>
          <w:szCs w:val="22"/>
          <w:lang w:val="it-IT"/>
        </w:rPr>
        <w:lastRenderedPageBreak/>
        <w:t xml:space="preserve">Thọ, </w:t>
      </w:r>
      <w:r w:rsidR="00774D38">
        <w:rPr>
          <w:bCs/>
          <w:iCs/>
          <w:sz w:val="22"/>
          <w:szCs w:val="22"/>
          <w:lang w:val="it-IT"/>
        </w:rPr>
        <w:t xml:space="preserve">Hà Nam, Vĩnh phúc. </w:t>
      </w:r>
      <w:r w:rsidRPr="009F3CFD">
        <w:rPr>
          <w:bCs/>
          <w:iCs/>
          <w:sz w:val="22"/>
          <w:szCs w:val="22"/>
          <w:lang w:val="it-IT"/>
        </w:rPr>
        <w:t xml:space="preserve">là </w:t>
      </w:r>
      <w:r w:rsidR="00774D38">
        <w:rPr>
          <w:bCs/>
          <w:iCs/>
          <w:sz w:val="22"/>
          <w:szCs w:val="22"/>
          <w:lang w:val="it-IT"/>
        </w:rPr>
        <w:t>những</w:t>
      </w:r>
      <w:r w:rsidRPr="009F3CFD">
        <w:rPr>
          <w:bCs/>
          <w:iCs/>
          <w:sz w:val="22"/>
          <w:szCs w:val="22"/>
          <w:lang w:val="it-IT"/>
        </w:rPr>
        <w:t xml:space="preserve"> tỉnh </w:t>
      </w:r>
      <w:r w:rsidR="00774D38">
        <w:rPr>
          <w:bCs/>
          <w:iCs/>
          <w:sz w:val="22"/>
          <w:szCs w:val="22"/>
          <w:lang w:val="it-IT"/>
        </w:rPr>
        <w:t xml:space="preserve">có xã </w:t>
      </w:r>
      <w:r w:rsidRPr="009F3CFD">
        <w:rPr>
          <w:bCs/>
          <w:iCs/>
          <w:sz w:val="22"/>
          <w:szCs w:val="22"/>
          <w:lang w:val="it-IT"/>
        </w:rPr>
        <w:t xml:space="preserve">nghèo, </w:t>
      </w:r>
      <w:r w:rsidR="00774D38">
        <w:rPr>
          <w:bCs/>
          <w:iCs/>
          <w:sz w:val="22"/>
          <w:szCs w:val="22"/>
          <w:lang w:val="it-IT"/>
        </w:rPr>
        <w:t>điều kiện kinh tế khó khăn</w:t>
      </w:r>
      <w:r w:rsidRPr="009F3CFD">
        <w:rPr>
          <w:bCs/>
          <w:iCs/>
          <w:sz w:val="22"/>
          <w:szCs w:val="22"/>
          <w:lang w:val="it-IT"/>
        </w:rPr>
        <w:t xml:space="preserve">. </w:t>
      </w:r>
      <w:r w:rsidR="00774D38">
        <w:rPr>
          <w:bCs/>
          <w:iCs/>
          <w:sz w:val="22"/>
          <w:szCs w:val="22"/>
          <w:lang w:val="it-IT"/>
        </w:rPr>
        <w:t xml:space="preserve">                    </w:t>
      </w:r>
    </w:p>
    <w:p w14:paraId="477BB82B" w14:textId="77777777" w:rsidR="006F506C" w:rsidRPr="009F3CFD" w:rsidRDefault="006F506C" w:rsidP="00A1659D">
      <w:pPr>
        <w:spacing w:line="280" w:lineRule="exact"/>
        <w:ind w:firstLine="426"/>
        <w:jc w:val="both"/>
        <w:rPr>
          <w:b/>
          <w:sz w:val="22"/>
          <w:szCs w:val="22"/>
          <w:lang w:val="it-IT"/>
        </w:rPr>
      </w:pPr>
      <w:r w:rsidRPr="009F3CFD">
        <w:rPr>
          <w:b/>
          <w:sz w:val="22"/>
          <w:szCs w:val="22"/>
          <w:lang w:val="it-IT"/>
        </w:rPr>
        <w:t>2.2. Phương pháp nghiên cứu</w:t>
      </w:r>
    </w:p>
    <w:p w14:paraId="7055306C" w14:textId="77777777" w:rsidR="006F506C" w:rsidRPr="009F3CFD" w:rsidRDefault="006F506C" w:rsidP="00A1659D">
      <w:pPr>
        <w:spacing w:line="280" w:lineRule="exact"/>
        <w:ind w:firstLine="426"/>
        <w:jc w:val="both"/>
        <w:rPr>
          <w:b/>
          <w:sz w:val="22"/>
          <w:szCs w:val="22"/>
          <w:lang w:val="it-IT"/>
        </w:rPr>
      </w:pPr>
      <w:r w:rsidRPr="009F3CFD">
        <w:rPr>
          <w:b/>
          <w:sz w:val="22"/>
          <w:szCs w:val="22"/>
          <w:lang w:val="it-IT"/>
        </w:rPr>
        <w:t>2.2.1. Thiết kế nghiên cứu</w:t>
      </w:r>
    </w:p>
    <w:p w14:paraId="0F2F812B" w14:textId="77777777" w:rsidR="006F506C" w:rsidRPr="009F3CFD" w:rsidRDefault="006F506C" w:rsidP="00A1659D">
      <w:pPr>
        <w:spacing w:line="280" w:lineRule="exact"/>
        <w:ind w:firstLine="426"/>
        <w:jc w:val="both"/>
        <w:rPr>
          <w:sz w:val="22"/>
          <w:szCs w:val="22"/>
          <w:lang w:val="it-IT"/>
        </w:rPr>
      </w:pPr>
      <w:r w:rsidRPr="009F3CFD">
        <w:rPr>
          <w:sz w:val="22"/>
          <w:szCs w:val="22"/>
          <w:lang w:val="it-IT"/>
        </w:rPr>
        <w:t>Can thiệp cộng đồng có đối chứng để so sánh hiệu quả giữa các hình thức bổ sung vi chất dinh dưỡng khác nhau.</w:t>
      </w:r>
    </w:p>
    <w:p w14:paraId="2C7B11AF" w14:textId="77777777" w:rsidR="006F506C" w:rsidRPr="009F3CFD" w:rsidRDefault="006F506C" w:rsidP="00A1659D">
      <w:pPr>
        <w:spacing w:line="280" w:lineRule="exact"/>
        <w:ind w:firstLine="426"/>
        <w:jc w:val="both"/>
        <w:rPr>
          <w:sz w:val="22"/>
          <w:szCs w:val="22"/>
          <w:lang w:val="it-IT"/>
        </w:rPr>
      </w:pPr>
      <w:r w:rsidRPr="009F3CFD">
        <w:rPr>
          <w:sz w:val="22"/>
          <w:szCs w:val="22"/>
          <w:lang w:val="it-IT"/>
        </w:rPr>
        <w:t>Giai đoạn 1: Đánh giá trước can thiệp: Tiến hành đánh giá tình trạng dinh dưỡng của đối tượng được chọn vào nghiên cứu là trẻ bị suy dinh dưỡng thấp còi về thông tin chung, cân đo nhân trắc, lấy máu xét nghiệm nồng độ Hb, Ferritin huyết thanh, kẽm huyết thanh. Phân bố trẻ ngẫu nhiên vào 3 nhóm nghiên cứu sao cho các chỉ tiêu về nhân trắc, hoá sinh trên trẻ SDD thấp còi đã chọn được chia 3 nhóm tương đương nhau.</w:t>
      </w:r>
    </w:p>
    <w:p w14:paraId="08622FDC" w14:textId="77777777" w:rsidR="006F506C" w:rsidRPr="009F3CFD" w:rsidRDefault="006F506C" w:rsidP="00A1659D">
      <w:pPr>
        <w:spacing w:line="280" w:lineRule="exact"/>
        <w:ind w:firstLine="426"/>
        <w:jc w:val="both"/>
        <w:rPr>
          <w:sz w:val="22"/>
          <w:szCs w:val="22"/>
          <w:lang w:val="it-IT"/>
        </w:rPr>
      </w:pPr>
      <w:r w:rsidRPr="009F3CFD">
        <w:rPr>
          <w:sz w:val="22"/>
          <w:szCs w:val="22"/>
          <w:lang w:val="it-IT"/>
        </w:rPr>
        <w:t>Giai đoạn 2: Hoạt động can thiệp: Triển khai trong 6 tháng, có 3 nhóm tham gia nghiên cứu, trong đó nhóm 1 được sử dụng chế phẩm bổ sung chứa 15 mg kẽm/ngày, nhóm 2 sử dụng chế phẩm bổ sung chứa 15 mg sắt/ngày + 15 mg kẽm/ngày, nhóm 3 là nhóm chứng chỉ dùng hàng ngày chế phẩm thông thường không chứa sắt, kẽm. Đánh giá sau can thiệp: Đối tượng nghiên cứu của 3 nhóm được cân đo nhân trắc, lấy máu xét nghiệm nồng độ Hb, Ferritin huyết thanh, kẽm huyết thanh nhằm so sánh hiệu quả can thiệp. Chỉ những trẻ em nào tham gia sử dụng chế phẩm bổ sung đạt trên 80% thời gian can thiệp và sử dụng trên 95% số sản phẩm thì mới sử dụng số liệu của trẻ đó đưa vào phân tích.</w:t>
      </w:r>
    </w:p>
    <w:p w14:paraId="39D2B0C3" w14:textId="77777777" w:rsidR="006F506C" w:rsidRPr="009F3CFD" w:rsidRDefault="006F506C" w:rsidP="00A1659D">
      <w:pPr>
        <w:spacing w:line="280" w:lineRule="exact"/>
        <w:ind w:firstLine="426"/>
        <w:jc w:val="both"/>
        <w:rPr>
          <w:b/>
          <w:sz w:val="22"/>
          <w:szCs w:val="22"/>
          <w:lang w:val="it-IT"/>
        </w:rPr>
      </w:pPr>
      <w:r w:rsidRPr="009F3CFD">
        <w:rPr>
          <w:b/>
          <w:sz w:val="22"/>
          <w:szCs w:val="22"/>
          <w:lang w:val="it-IT"/>
        </w:rPr>
        <w:t xml:space="preserve">2.2.2. Công thức tính mẫu và cỡ mẫu: </w:t>
      </w:r>
    </w:p>
    <w:p w14:paraId="62D3F843" w14:textId="77777777" w:rsidR="006F506C" w:rsidRPr="009F3CFD" w:rsidRDefault="006F506C" w:rsidP="00A1659D">
      <w:pPr>
        <w:spacing w:line="280" w:lineRule="exact"/>
        <w:ind w:firstLine="426"/>
        <w:jc w:val="both"/>
        <w:rPr>
          <w:sz w:val="22"/>
          <w:szCs w:val="22"/>
          <w:lang w:val="it-IT"/>
        </w:rPr>
      </w:pPr>
      <w:r w:rsidRPr="009F3CFD">
        <w:rPr>
          <w:sz w:val="22"/>
          <w:szCs w:val="22"/>
          <w:lang w:val="it-IT"/>
        </w:rPr>
        <w:t>Cỡ mẫu: Áp dụng công thức cho sự khác biệt giá trị trung bình giữa 2 nhóm nghiên cứu khi kết thúc can thiệp</w:t>
      </w:r>
      <w:r w:rsidR="006150E8">
        <w:rPr>
          <w:sz w:val="22"/>
          <w:szCs w:val="22"/>
          <w:lang w:val="it-IT"/>
        </w:rPr>
        <w:t>:</w:t>
      </w:r>
      <w:r w:rsidRPr="009F3CFD">
        <w:rPr>
          <w:sz w:val="22"/>
          <w:szCs w:val="22"/>
          <w:lang w:val="it-IT"/>
        </w:rPr>
        <w:tab/>
      </w:r>
    </w:p>
    <w:p w14:paraId="78E810DB" w14:textId="77777777" w:rsidR="00E56E95" w:rsidRPr="009F3CFD" w:rsidRDefault="00E56E95" w:rsidP="00A1659D">
      <w:pPr>
        <w:spacing w:line="280" w:lineRule="exact"/>
        <w:ind w:firstLine="426"/>
        <w:jc w:val="both"/>
        <w:rPr>
          <w:sz w:val="22"/>
          <w:szCs w:val="22"/>
          <w:lang w:val="it-IT"/>
        </w:rPr>
      </w:pPr>
      <w:r w:rsidRPr="009F3CFD">
        <w:rPr>
          <w:sz w:val="22"/>
          <w:szCs w:val="22"/>
          <w:lang w:val="it-IT"/>
        </w:rPr>
        <w:t>Với Tổng số mẫu cần cho nghiên cứu 342 trẻ thấp còi ở 3 tỉnh, mỗi tỉnh cần 114 trẻ suy dinh dưỡng thấp còi.</w:t>
      </w:r>
    </w:p>
    <w:p w14:paraId="79DB9EB0" w14:textId="77777777" w:rsidR="00E56E95" w:rsidRPr="009F3CFD" w:rsidRDefault="00E56E95" w:rsidP="00A1659D">
      <w:pPr>
        <w:spacing w:line="280" w:lineRule="exact"/>
        <w:ind w:firstLine="426"/>
        <w:jc w:val="both"/>
        <w:rPr>
          <w:b/>
          <w:sz w:val="22"/>
          <w:szCs w:val="22"/>
          <w:lang w:val="it-IT"/>
        </w:rPr>
      </w:pPr>
      <w:r w:rsidRPr="009F3CFD">
        <w:rPr>
          <w:b/>
          <w:sz w:val="22"/>
          <w:szCs w:val="22"/>
          <w:lang w:val="it-IT"/>
        </w:rPr>
        <w:t>2.2.3. Chọn mẫu</w:t>
      </w:r>
    </w:p>
    <w:p w14:paraId="7963ACF6" w14:textId="77777777" w:rsidR="00E56E95" w:rsidRPr="00B56CC9" w:rsidRDefault="00E56E95" w:rsidP="00A1659D">
      <w:pPr>
        <w:spacing w:line="280" w:lineRule="exact"/>
        <w:ind w:firstLine="426"/>
        <w:jc w:val="both"/>
        <w:rPr>
          <w:spacing w:val="-6"/>
          <w:sz w:val="22"/>
          <w:szCs w:val="22"/>
          <w:lang w:val="it-IT"/>
        </w:rPr>
      </w:pPr>
      <w:r w:rsidRPr="00B56CC9">
        <w:rPr>
          <w:spacing w:val="-6"/>
          <w:sz w:val="22"/>
          <w:szCs w:val="22"/>
          <w:lang w:val="it-IT"/>
        </w:rPr>
        <w:t>Chọn tỉnh: Chọn có chủ đích 3 tỉnh Phú Thọ, Vĩnh Phúc và Hà Nam</w:t>
      </w:r>
    </w:p>
    <w:p w14:paraId="7FEF5046" w14:textId="77777777" w:rsidR="00E56E95" w:rsidRPr="009F3CFD" w:rsidRDefault="00E56E95" w:rsidP="00A1659D">
      <w:pPr>
        <w:spacing w:line="280" w:lineRule="exact"/>
        <w:ind w:firstLine="426"/>
        <w:jc w:val="both"/>
        <w:rPr>
          <w:sz w:val="22"/>
          <w:szCs w:val="22"/>
          <w:lang w:val="it-IT"/>
        </w:rPr>
      </w:pPr>
      <w:r w:rsidRPr="009F3CFD">
        <w:rPr>
          <w:sz w:val="22"/>
          <w:szCs w:val="22"/>
          <w:lang w:val="it-IT"/>
        </w:rPr>
        <w:t>Chọn huyện: Tại mỗi tỉnh tham gia nghiên cứu, tiến hành chọn chủ đích 1 huyện nơi có tỷ lệ trẻ SDD thấp còi cao.</w:t>
      </w:r>
    </w:p>
    <w:p w14:paraId="1AE797D3" w14:textId="77777777" w:rsidR="00E56E95" w:rsidRPr="009F3CFD" w:rsidRDefault="00E56E95" w:rsidP="00A1659D">
      <w:pPr>
        <w:spacing w:line="280" w:lineRule="exact"/>
        <w:ind w:firstLine="426"/>
        <w:jc w:val="both"/>
        <w:rPr>
          <w:sz w:val="22"/>
          <w:szCs w:val="22"/>
          <w:lang w:val="it-IT"/>
        </w:rPr>
      </w:pPr>
      <w:r w:rsidRPr="009F3CFD">
        <w:rPr>
          <w:sz w:val="22"/>
          <w:szCs w:val="22"/>
          <w:lang w:val="it-IT"/>
        </w:rPr>
        <w:lastRenderedPageBreak/>
        <w:t xml:space="preserve">Chọn xã: Tại mỗi huyện tiến hành chọn chủ đích 4 xã, là các xã có tỷ lệ trẻ SDD thấp còi cao. </w:t>
      </w:r>
    </w:p>
    <w:p w14:paraId="41B84003" w14:textId="77777777" w:rsidR="00E56E95" w:rsidRPr="00B56CC9" w:rsidRDefault="00E56E95" w:rsidP="00A1659D">
      <w:pPr>
        <w:spacing w:line="280" w:lineRule="exact"/>
        <w:ind w:firstLine="426"/>
        <w:jc w:val="both"/>
        <w:rPr>
          <w:spacing w:val="-2"/>
          <w:sz w:val="22"/>
          <w:szCs w:val="22"/>
          <w:lang w:val="it-IT"/>
        </w:rPr>
      </w:pPr>
      <w:r w:rsidRPr="00B56CC9">
        <w:rPr>
          <w:spacing w:val="-2"/>
          <w:sz w:val="22"/>
          <w:szCs w:val="22"/>
          <w:lang w:val="it-IT"/>
        </w:rPr>
        <w:t>Chọn trẻ: Tại các xã điều tra, cân và đo chiều cao cho trẻ từ 1-3 tuổi nằm trong danh sách những trẻ bị SDD thấp còi của xã. Danh sách trẻ bị SDD được Trạm Y tế các xã cân, đo, thống kê và quản lý theo quy định của chương trình cải thiện tình trạng dinh dưỡng trẻ em dưới 5 tuổi. Từ danh sách trẻ bị SDD thấp còi của xã, nhóm nghiên cứu cân, đo chọn số lượng trẻ đủ tiêu chuẩn theo yêu cầu vào nghiên cứu. sau khi có danh sách và các chỉ tiêu cân nặng, chiều cao, Hb, kẽm, Ferritin huyết thanh phân bố trẻ bị SDD thấp còi hợp lý cho 3 nhóm nghiên cứu.</w:t>
      </w:r>
    </w:p>
    <w:p w14:paraId="547C7C12" w14:textId="77777777" w:rsidR="00D76450" w:rsidRPr="009F3CFD" w:rsidRDefault="00D76450" w:rsidP="00A1659D">
      <w:pPr>
        <w:spacing w:before="240" w:after="60"/>
        <w:ind w:firstLine="426"/>
        <w:jc w:val="both"/>
        <w:rPr>
          <w:b/>
          <w:sz w:val="22"/>
          <w:szCs w:val="22"/>
          <w:lang w:val="it-IT"/>
        </w:rPr>
      </w:pPr>
      <w:r w:rsidRPr="009F3CFD">
        <w:rPr>
          <w:b/>
          <w:sz w:val="22"/>
          <w:szCs w:val="22"/>
          <w:lang w:val="it-IT"/>
        </w:rPr>
        <w:t xml:space="preserve">CHƯƠNG 3. KẾT QUẢ </w:t>
      </w:r>
      <w:bookmarkStart w:id="7" w:name="_Toc309540560"/>
      <w:r w:rsidR="006832BF" w:rsidRPr="009F3CFD">
        <w:rPr>
          <w:b/>
          <w:sz w:val="22"/>
          <w:szCs w:val="22"/>
          <w:lang w:val="it-IT"/>
        </w:rPr>
        <w:t>NGHIÊN CỨU</w:t>
      </w:r>
    </w:p>
    <w:p w14:paraId="2D5FAD7E" w14:textId="4060483C" w:rsidR="00E56E95" w:rsidRPr="00D95E51" w:rsidRDefault="007B4414" w:rsidP="00A1659D">
      <w:pPr>
        <w:spacing w:before="120"/>
        <w:ind w:firstLine="426"/>
        <w:jc w:val="both"/>
        <w:rPr>
          <w:b/>
          <w:sz w:val="22"/>
          <w:szCs w:val="22"/>
          <w:lang w:val="it-IT"/>
        </w:rPr>
      </w:pPr>
      <w:r>
        <w:rPr>
          <w:b/>
          <w:sz w:val="22"/>
          <w:szCs w:val="22"/>
          <w:lang w:val="it-IT"/>
        </w:rPr>
        <w:t>3.1</w:t>
      </w:r>
      <w:r w:rsidR="00E56E95" w:rsidRPr="00D95E51">
        <w:rPr>
          <w:b/>
          <w:sz w:val="22"/>
          <w:szCs w:val="22"/>
          <w:lang w:val="it-IT"/>
        </w:rPr>
        <w:t>. Kết quả của sử dụng sắt - kẽm phối hợp, sử dụng kẽm riêng rẽ lên tình trạng thấp còi, nhẹ cân, gầy còm, thiếu máu, thiếu sắt và thiếu kẽm ở trẻ 1-3 tuổi suy dinh dưỡng thể thấp còi sau 6 tháng can thiệp.</w:t>
      </w:r>
    </w:p>
    <w:p w14:paraId="4A8F8434" w14:textId="483D76B2" w:rsidR="002D4E10" w:rsidRPr="00D95E51" w:rsidRDefault="002D4E10" w:rsidP="002D4E10">
      <w:pPr>
        <w:pStyle w:val="Caption"/>
        <w:ind w:firstLine="567"/>
        <w:rPr>
          <w:b/>
          <w:bCs/>
          <w:iCs w:val="0"/>
          <w:sz w:val="22"/>
          <w:szCs w:val="22"/>
          <w:lang w:val="it-IT"/>
        </w:rPr>
      </w:pPr>
      <w:bookmarkStart w:id="8" w:name="_Toc137282927"/>
      <w:r w:rsidRPr="00D95E51">
        <w:rPr>
          <w:b/>
          <w:sz w:val="22"/>
          <w:szCs w:val="22"/>
          <w:lang w:val="it-IT"/>
        </w:rPr>
        <w:t xml:space="preserve">Bảng 3. </w:t>
      </w:r>
      <w:r w:rsidRPr="00D95E51">
        <w:rPr>
          <w:b/>
          <w:sz w:val="22"/>
          <w:szCs w:val="22"/>
        </w:rPr>
        <w:fldChar w:fldCharType="begin"/>
      </w:r>
      <w:r w:rsidRPr="00D95E51">
        <w:rPr>
          <w:b/>
          <w:sz w:val="22"/>
          <w:szCs w:val="22"/>
          <w:lang w:val="it-IT"/>
        </w:rPr>
        <w:instrText xml:space="preserve"> SEQ Bảng_3. \* ARABIC </w:instrText>
      </w:r>
      <w:r w:rsidRPr="00D95E51">
        <w:rPr>
          <w:b/>
          <w:sz w:val="22"/>
          <w:szCs w:val="22"/>
        </w:rPr>
        <w:fldChar w:fldCharType="separate"/>
      </w:r>
      <w:r w:rsidR="003C4637">
        <w:rPr>
          <w:b/>
          <w:noProof/>
          <w:sz w:val="22"/>
          <w:szCs w:val="22"/>
          <w:lang w:val="it-IT"/>
        </w:rPr>
        <w:t>1</w:t>
      </w:r>
      <w:r w:rsidRPr="00D95E51">
        <w:rPr>
          <w:b/>
          <w:sz w:val="22"/>
          <w:szCs w:val="22"/>
        </w:rPr>
        <w:fldChar w:fldCharType="end"/>
      </w:r>
      <w:r w:rsidRPr="00D95E51">
        <w:rPr>
          <w:b/>
          <w:bCs/>
          <w:iCs w:val="0"/>
          <w:sz w:val="22"/>
          <w:szCs w:val="22"/>
          <w:lang w:val="it-IT"/>
        </w:rPr>
        <w:t>.</w:t>
      </w:r>
      <w:bookmarkStart w:id="9" w:name="_Hlk105861084"/>
      <w:r w:rsidRPr="00D95E51">
        <w:rPr>
          <w:b/>
          <w:bCs/>
          <w:iCs w:val="0"/>
          <w:sz w:val="22"/>
          <w:szCs w:val="22"/>
          <w:lang w:val="it-IT"/>
        </w:rPr>
        <w:t xml:space="preserve"> </w:t>
      </w:r>
      <w:r w:rsidRPr="00D95E51">
        <w:rPr>
          <w:rFonts w:eastAsia="Times New Roman"/>
          <w:b/>
          <w:bCs/>
          <w:sz w:val="22"/>
          <w:szCs w:val="22"/>
          <w:lang w:val="it-IT" w:eastAsia="ja-JP"/>
        </w:rPr>
        <w:t xml:space="preserve">Kết quả </w:t>
      </w:r>
      <w:r w:rsidRPr="00D95E51">
        <w:rPr>
          <w:b/>
          <w:bCs/>
          <w:sz w:val="22"/>
          <w:szCs w:val="22"/>
          <w:lang w:val="it-IT"/>
        </w:rPr>
        <w:t xml:space="preserve">thay đổi chỉ số </w:t>
      </w:r>
      <w:r w:rsidRPr="00D95E51">
        <w:rPr>
          <w:rFonts w:eastAsia="Times New Roman"/>
          <w:b/>
          <w:bCs/>
          <w:sz w:val="22"/>
          <w:szCs w:val="22"/>
          <w:lang w:val="it-IT"/>
        </w:rPr>
        <w:t xml:space="preserve">Z-score chiều cao/tuổi </w:t>
      </w:r>
      <w:r w:rsidRPr="00D95E51">
        <w:rPr>
          <w:b/>
          <w:bCs/>
          <w:sz w:val="22"/>
          <w:szCs w:val="22"/>
          <w:lang w:val="it-IT"/>
        </w:rPr>
        <w:t>của đối tượng nghiên cứu sau 6 tháng can thiệp</w:t>
      </w:r>
      <w:bookmarkEnd w:id="8"/>
      <w:bookmarkEnd w:id="9"/>
    </w:p>
    <w:tbl>
      <w:tblP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76"/>
        <w:gridCol w:w="1276"/>
        <w:gridCol w:w="1276"/>
        <w:gridCol w:w="708"/>
      </w:tblGrid>
      <w:tr w:rsidR="00D95E51" w:rsidRPr="00D95E51" w14:paraId="32E54FE2" w14:textId="77777777" w:rsidTr="00224229">
        <w:trPr>
          <w:trHeight w:val="387"/>
        </w:trPr>
        <w:tc>
          <w:tcPr>
            <w:tcW w:w="1696" w:type="dxa"/>
            <w:vMerge w:val="restart"/>
            <w:shd w:val="clear" w:color="auto" w:fill="auto"/>
          </w:tcPr>
          <w:p w14:paraId="7ECF9907" w14:textId="77777777" w:rsidR="002D4E10" w:rsidRPr="00D95E51" w:rsidRDefault="002D4E10" w:rsidP="00615EB7">
            <w:pPr>
              <w:ind w:right="49" w:hanging="118"/>
              <w:jc w:val="center"/>
              <w:rPr>
                <w:b/>
                <w:bCs/>
                <w:sz w:val="22"/>
                <w:szCs w:val="22"/>
                <w:lang w:val="it-IT"/>
              </w:rPr>
            </w:pPr>
          </w:p>
          <w:p w14:paraId="7D2E8F16" w14:textId="77777777" w:rsidR="002D4E10" w:rsidRPr="00D95E51" w:rsidRDefault="002D4E10" w:rsidP="00615EB7">
            <w:pPr>
              <w:ind w:right="49" w:hanging="118"/>
              <w:jc w:val="center"/>
              <w:rPr>
                <w:b/>
                <w:bCs/>
                <w:sz w:val="22"/>
                <w:szCs w:val="22"/>
              </w:rPr>
            </w:pPr>
            <w:r w:rsidRPr="00D95E51">
              <w:rPr>
                <w:b/>
                <w:bCs/>
                <w:sz w:val="22"/>
                <w:szCs w:val="22"/>
              </w:rPr>
              <w:t>Chỉ số HAZ</w:t>
            </w:r>
          </w:p>
        </w:tc>
        <w:tc>
          <w:tcPr>
            <w:tcW w:w="4536" w:type="dxa"/>
            <w:gridSpan w:val="4"/>
            <w:shd w:val="clear" w:color="auto" w:fill="auto"/>
          </w:tcPr>
          <w:p w14:paraId="7E342E68" w14:textId="77777777" w:rsidR="002D4E10" w:rsidRPr="00D95E51" w:rsidRDefault="002D4E10" w:rsidP="00615EB7">
            <w:pPr>
              <w:ind w:right="49" w:hanging="118"/>
              <w:jc w:val="center"/>
              <w:rPr>
                <w:b/>
                <w:bCs/>
                <w:sz w:val="22"/>
                <w:szCs w:val="22"/>
              </w:rPr>
            </w:pPr>
            <w:r w:rsidRPr="00D95E51">
              <w:rPr>
                <w:b/>
                <w:bCs/>
                <w:sz w:val="22"/>
                <w:szCs w:val="22"/>
              </w:rPr>
              <w:t>Nhóm nghiên cứu</w:t>
            </w:r>
          </w:p>
        </w:tc>
      </w:tr>
      <w:tr w:rsidR="002D4E10" w:rsidRPr="00D95E51" w14:paraId="60E88587" w14:textId="77777777" w:rsidTr="008B625E">
        <w:trPr>
          <w:trHeight w:val="1036"/>
        </w:trPr>
        <w:tc>
          <w:tcPr>
            <w:tcW w:w="1696" w:type="dxa"/>
            <w:vMerge/>
            <w:shd w:val="clear" w:color="auto" w:fill="auto"/>
          </w:tcPr>
          <w:p w14:paraId="22364D92" w14:textId="77777777" w:rsidR="002D4E10" w:rsidRPr="00D95E51" w:rsidRDefault="002D4E10" w:rsidP="00615EB7">
            <w:pPr>
              <w:ind w:right="49" w:hanging="118"/>
              <w:jc w:val="center"/>
              <w:rPr>
                <w:b/>
                <w:bCs/>
                <w:sz w:val="22"/>
                <w:szCs w:val="22"/>
              </w:rPr>
            </w:pPr>
          </w:p>
        </w:tc>
        <w:tc>
          <w:tcPr>
            <w:tcW w:w="1276" w:type="dxa"/>
            <w:shd w:val="clear" w:color="auto" w:fill="auto"/>
          </w:tcPr>
          <w:p w14:paraId="184AA3EC" w14:textId="77777777" w:rsidR="002D4E10" w:rsidRPr="00D95E51" w:rsidRDefault="002D4E10" w:rsidP="00615EB7">
            <w:pPr>
              <w:spacing w:line="276" w:lineRule="auto"/>
              <w:ind w:right="49" w:hanging="118"/>
              <w:jc w:val="center"/>
              <w:rPr>
                <w:b/>
                <w:bCs/>
                <w:sz w:val="22"/>
                <w:szCs w:val="22"/>
              </w:rPr>
            </w:pPr>
            <w:r w:rsidRPr="00D95E51">
              <w:rPr>
                <w:b/>
                <w:bCs/>
                <w:sz w:val="22"/>
                <w:szCs w:val="22"/>
              </w:rPr>
              <w:t>Nhóm chứng</w:t>
            </w:r>
          </w:p>
          <w:p w14:paraId="027F4BF6" w14:textId="77777777" w:rsidR="002D4E10" w:rsidRPr="00D95E51" w:rsidRDefault="002D4E10" w:rsidP="00615EB7">
            <w:pPr>
              <w:spacing w:line="276" w:lineRule="auto"/>
              <w:ind w:right="49" w:hanging="118"/>
              <w:jc w:val="center"/>
              <w:rPr>
                <w:b/>
                <w:bCs/>
                <w:sz w:val="22"/>
                <w:szCs w:val="22"/>
              </w:rPr>
            </w:pPr>
            <w:r w:rsidRPr="00D95E51">
              <w:rPr>
                <w:b/>
                <w:bCs/>
                <w:sz w:val="22"/>
                <w:szCs w:val="22"/>
              </w:rPr>
              <w:t>(n=99)</w:t>
            </w:r>
          </w:p>
        </w:tc>
        <w:tc>
          <w:tcPr>
            <w:tcW w:w="1276" w:type="dxa"/>
            <w:shd w:val="clear" w:color="auto" w:fill="auto"/>
          </w:tcPr>
          <w:p w14:paraId="6891CAD2" w14:textId="77777777" w:rsidR="002D4E10" w:rsidRPr="00D95E51" w:rsidRDefault="002D4E10" w:rsidP="00615EB7">
            <w:pPr>
              <w:ind w:right="49" w:hanging="118"/>
              <w:jc w:val="center"/>
              <w:rPr>
                <w:b/>
                <w:bCs/>
                <w:sz w:val="22"/>
                <w:szCs w:val="22"/>
              </w:rPr>
            </w:pPr>
            <w:r w:rsidRPr="00D95E51">
              <w:rPr>
                <w:b/>
                <w:bCs/>
                <w:sz w:val="22"/>
                <w:szCs w:val="22"/>
              </w:rPr>
              <w:t>Nhóm bổ sung kẽm (n=94)</w:t>
            </w:r>
          </w:p>
        </w:tc>
        <w:tc>
          <w:tcPr>
            <w:tcW w:w="1276" w:type="dxa"/>
            <w:shd w:val="clear" w:color="auto" w:fill="auto"/>
          </w:tcPr>
          <w:p w14:paraId="3C1ECBCF" w14:textId="77777777" w:rsidR="002D4E10" w:rsidRPr="00D95E51" w:rsidRDefault="002D4E10" w:rsidP="00615EB7">
            <w:pPr>
              <w:ind w:right="49" w:hanging="118"/>
              <w:jc w:val="center"/>
              <w:rPr>
                <w:b/>
                <w:bCs/>
                <w:sz w:val="22"/>
                <w:szCs w:val="22"/>
              </w:rPr>
            </w:pPr>
            <w:r w:rsidRPr="00D95E51">
              <w:rPr>
                <w:b/>
                <w:bCs/>
                <w:sz w:val="22"/>
                <w:szCs w:val="22"/>
              </w:rPr>
              <w:t>Nhóm bổ sung sắt-kẽm (n=99)</w:t>
            </w:r>
          </w:p>
        </w:tc>
        <w:tc>
          <w:tcPr>
            <w:tcW w:w="708" w:type="dxa"/>
            <w:shd w:val="clear" w:color="auto" w:fill="auto"/>
          </w:tcPr>
          <w:p w14:paraId="047D95CD" w14:textId="77777777" w:rsidR="002D4E10" w:rsidRPr="00D95E51" w:rsidRDefault="002D4E10" w:rsidP="00615EB7">
            <w:pPr>
              <w:ind w:right="49" w:hanging="118"/>
              <w:jc w:val="center"/>
              <w:rPr>
                <w:b/>
                <w:bCs/>
                <w:sz w:val="22"/>
                <w:szCs w:val="22"/>
                <w:vertAlign w:val="superscript"/>
              </w:rPr>
            </w:pPr>
            <w:r w:rsidRPr="00D95E51">
              <w:rPr>
                <w:b/>
                <w:bCs/>
                <w:sz w:val="22"/>
                <w:szCs w:val="22"/>
              </w:rPr>
              <w:t>p</w:t>
            </w:r>
            <w:r w:rsidRPr="00D95E51">
              <w:rPr>
                <w:b/>
                <w:bCs/>
                <w:sz w:val="22"/>
                <w:szCs w:val="22"/>
                <w:vertAlign w:val="superscript"/>
              </w:rPr>
              <w:t>1</w:t>
            </w:r>
          </w:p>
        </w:tc>
      </w:tr>
      <w:tr w:rsidR="002D4E10" w:rsidRPr="00D95E51" w14:paraId="5A46ECAF" w14:textId="77777777" w:rsidTr="008B625E">
        <w:trPr>
          <w:trHeight w:val="414"/>
        </w:trPr>
        <w:tc>
          <w:tcPr>
            <w:tcW w:w="1696" w:type="dxa"/>
            <w:shd w:val="clear" w:color="auto" w:fill="auto"/>
          </w:tcPr>
          <w:p w14:paraId="535784C0" w14:textId="77777777" w:rsidR="002D4E10" w:rsidRPr="00D95E51" w:rsidRDefault="002D4E10" w:rsidP="00224229">
            <w:pPr>
              <w:spacing w:line="360" w:lineRule="auto"/>
              <w:ind w:right="49" w:hanging="115"/>
              <w:rPr>
                <w:b/>
                <w:bCs/>
                <w:sz w:val="22"/>
                <w:szCs w:val="22"/>
              </w:rPr>
            </w:pPr>
            <w:r w:rsidRPr="00D95E51">
              <w:rPr>
                <w:b/>
                <w:bCs/>
                <w:sz w:val="22"/>
                <w:szCs w:val="22"/>
              </w:rPr>
              <w:t>Trước can thiệp</w:t>
            </w:r>
          </w:p>
        </w:tc>
        <w:tc>
          <w:tcPr>
            <w:tcW w:w="1276" w:type="dxa"/>
            <w:shd w:val="clear" w:color="auto" w:fill="auto"/>
          </w:tcPr>
          <w:p w14:paraId="5F8CAB7D" w14:textId="77777777" w:rsidR="002D4E10" w:rsidRPr="00D95E51" w:rsidRDefault="002D4E10" w:rsidP="00224229">
            <w:pPr>
              <w:spacing w:line="360" w:lineRule="auto"/>
              <w:ind w:right="49" w:hanging="118"/>
              <w:jc w:val="center"/>
              <w:rPr>
                <w:sz w:val="22"/>
                <w:szCs w:val="22"/>
              </w:rPr>
            </w:pPr>
            <w:r w:rsidRPr="00D95E51">
              <w:rPr>
                <w:sz w:val="22"/>
                <w:szCs w:val="22"/>
              </w:rPr>
              <w:t xml:space="preserve">-2,66 </w:t>
            </w:r>
            <w:r w:rsidRPr="00D95E51">
              <w:rPr>
                <w:sz w:val="22"/>
                <w:szCs w:val="22"/>
              </w:rPr>
              <w:sym w:font="Symbol" w:char="F0B1"/>
            </w:r>
            <w:r w:rsidRPr="00D95E51">
              <w:rPr>
                <w:sz w:val="22"/>
                <w:szCs w:val="22"/>
              </w:rPr>
              <w:t xml:space="preserve"> 0,65</w:t>
            </w:r>
          </w:p>
        </w:tc>
        <w:tc>
          <w:tcPr>
            <w:tcW w:w="1276" w:type="dxa"/>
            <w:shd w:val="clear" w:color="auto" w:fill="auto"/>
          </w:tcPr>
          <w:p w14:paraId="329BD046" w14:textId="77777777" w:rsidR="002D4E10" w:rsidRPr="00D95E51" w:rsidRDefault="002D4E10" w:rsidP="00224229">
            <w:pPr>
              <w:spacing w:line="360" w:lineRule="auto"/>
              <w:ind w:right="49" w:hanging="118"/>
              <w:jc w:val="center"/>
              <w:rPr>
                <w:sz w:val="22"/>
                <w:szCs w:val="22"/>
              </w:rPr>
            </w:pPr>
            <w:r w:rsidRPr="00D95E51">
              <w:rPr>
                <w:sz w:val="22"/>
                <w:szCs w:val="22"/>
              </w:rPr>
              <w:t xml:space="preserve">-2,58 </w:t>
            </w:r>
            <w:r w:rsidRPr="00D95E51">
              <w:rPr>
                <w:sz w:val="22"/>
                <w:szCs w:val="22"/>
              </w:rPr>
              <w:sym w:font="Symbol" w:char="F0B1"/>
            </w:r>
            <w:r w:rsidRPr="00D95E51">
              <w:rPr>
                <w:sz w:val="22"/>
                <w:szCs w:val="22"/>
              </w:rPr>
              <w:t xml:space="preserve"> 0,49</w:t>
            </w:r>
          </w:p>
        </w:tc>
        <w:tc>
          <w:tcPr>
            <w:tcW w:w="1276" w:type="dxa"/>
            <w:shd w:val="clear" w:color="auto" w:fill="auto"/>
          </w:tcPr>
          <w:p w14:paraId="1E91DC8E" w14:textId="77777777" w:rsidR="002D4E10" w:rsidRPr="00D95E51" w:rsidRDefault="002D4E10" w:rsidP="00224229">
            <w:pPr>
              <w:spacing w:line="360" w:lineRule="auto"/>
              <w:ind w:right="49" w:hanging="118"/>
              <w:jc w:val="center"/>
              <w:rPr>
                <w:sz w:val="22"/>
                <w:szCs w:val="22"/>
              </w:rPr>
            </w:pPr>
            <w:r w:rsidRPr="00D95E51">
              <w:rPr>
                <w:sz w:val="22"/>
                <w:szCs w:val="22"/>
              </w:rPr>
              <w:t xml:space="preserve">-2,58 </w:t>
            </w:r>
            <w:r w:rsidRPr="00D95E51">
              <w:rPr>
                <w:sz w:val="22"/>
                <w:szCs w:val="22"/>
              </w:rPr>
              <w:sym w:font="Symbol" w:char="F0B1"/>
            </w:r>
            <w:r w:rsidRPr="00D95E51">
              <w:rPr>
                <w:sz w:val="22"/>
                <w:szCs w:val="22"/>
              </w:rPr>
              <w:t xml:space="preserve"> 0,45</w:t>
            </w:r>
          </w:p>
        </w:tc>
        <w:tc>
          <w:tcPr>
            <w:tcW w:w="708" w:type="dxa"/>
            <w:shd w:val="clear" w:color="auto" w:fill="auto"/>
          </w:tcPr>
          <w:p w14:paraId="5CC7063B" w14:textId="77777777" w:rsidR="002D4E10" w:rsidRPr="00D95E51" w:rsidRDefault="002D4E10" w:rsidP="00224229">
            <w:pPr>
              <w:spacing w:line="360" w:lineRule="auto"/>
              <w:ind w:right="49" w:hanging="118"/>
              <w:jc w:val="center"/>
              <w:rPr>
                <w:sz w:val="22"/>
                <w:szCs w:val="22"/>
              </w:rPr>
            </w:pPr>
            <w:r w:rsidRPr="00D95E51">
              <w:rPr>
                <w:sz w:val="22"/>
                <w:szCs w:val="22"/>
              </w:rPr>
              <w:t>0,814</w:t>
            </w:r>
          </w:p>
        </w:tc>
      </w:tr>
      <w:tr w:rsidR="002D4E10" w:rsidRPr="00D95E51" w14:paraId="690811BA" w14:textId="77777777" w:rsidTr="008B625E">
        <w:trPr>
          <w:trHeight w:val="421"/>
        </w:trPr>
        <w:tc>
          <w:tcPr>
            <w:tcW w:w="1696" w:type="dxa"/>
            <w:shd w:val="clear" w:color="auto" w:fill="auto"/>
          </w:tcPr>
          <w:p w14:paraId="6DF2DAF3" w14:textId="77777777" w:rsidR="002D4E10" w:rsidRPr="00D95E51" w:rsidRDefault="002D4E10" w:rsidP="00224229">
            <w:pPr>
              <w:spacing w:line="360" w:lineRule="auto"/>
              <w:ind w:right="49" w:hanging="115"/>
              <w:rPr>
                <w:b/>
                <w:bCs/>
                <w:sz w:val="22"/>
                <w:szCs w:val="22"/>
              </w:rPr>
            </w:pPr>
            <w:bookmarkStart w:id="10" w:name="_Hlk105833229"/>
            <w:r w:rsidRPr="00D95E51">
              <w:rPr>
                <w:b/>
                <w:bCs/>
                <w:sz w:val="22"/>
                <w:szCs w:val="22"/>
              </w:rPr>
              <w:t>Sau can thiệp</w:t>
            </w:r>
          </w:p>
        </w:tc>
        <w:tc>
          <w:tcPr>
            <w:tcW w:w="1276" w:type="dxa"/>
            <w:shd w:val="clear" w:color="auto" w:fill="auto"/>
          </w:tcPr>
          <w:p w14:paraId="18C69344" w14:textId="77777777" w:rsidR="002D4E10" w:rsidRPr="00D95E51" w:rsidRDefault="002D4E10" w:rsidP="00224229">
            <w:pPr>
              <w:spacing w:line="360" w:lineRule="auto"/>
              <w:ind w:right="49" w:hanging="118"/>
              <w:jc w:val="center"/>
              <w:rPr>
                <w:sz w:val="22"/>
                <w:szCs w:val="22"/>
              </w:rPr>
            </w:pPr>
            <w:r w:rsidRPr="00D95E51">
              <w:rPr>
                <w:sz w:val="22"/>
                <w:szCs w:val="22"/>
              </w:rPr>
              <w:t xml:space="preserve">-2,61 </w:t>
            </w:r>
            <w:r w:rsidRPr="00D95E51">
              <w:rPr>
                <w:sz w:val="22"/>
                <w:szCs w:val="22"/>
              </w:rPr>
              <w:sym w:font="Symbol" w:char="F0B1"/>
            </w:r>
            <w:r w:rsidRPr="00D95E51">
              <w:rPr>
                <w:sz w:val="22"/>
                <w:szCs w:val="22"/>
              </w:rPr>
              <w:t xml:space="preserve"> 0,63</w:t>
            </w:r>
          </w:p>
        </w:tc>
        <w:tc>
          <w:tcPr>
            <w:tcW w:w="1276" w:type="dxa"/>
            <w:shd w:val="clear" w:color="auto" w:fill="auto"/>
          </w:tcPr>
          <w:p w14:paraId="150C5C44" w14:textId="77777777" w:rsidR="002D4E10" w:rsidRPr="00D95E51" w:rsidRDefault="002D4E10" w:rsidP="00224229">
            <w:pPr>
              <w:spacing w:line="360" w:lineRule="auto"/>
              <w:ind w:right="49" w:hanging="118"/>
              <w:jc w:val="center"/>
              <w:rPr>
                <w:sz w:val="22"/>
                <w:szCs w:val="22"/>
              </w:rPr>
            </w:pPr>
            <w:r w:rsidRPr="00D95E51">
              <w:rPr>
                <w:sz w:val="22"/>
                <w:szCs w:val="22"/>
              </w:rPr>
              <w:t xml:space="preserve">-2,54 </w:t>
            </w:r>
            <w:r w:rsidRPr="00D95E51">
              <w:rPr>
                <w:sz w:val="22"/>
                <w:szCs w:val="22"/>
              </w:rPr>
              <w:sym w:font="Symbol" w:char="F0B1"/>
            </w:r>
            <w:r w:rsidRPr="00D95E51">
              <w:rPr>
                <w:sz w:val="22"/>
                <w:szCs w:val="22"/>
              </w:rPr>
              <w:t xml:space="preserve"> 0,53</w:t>
            </w:r>
          </w:p>
        </w:tc>
        <w:tc>
          <w:tcPr>
            <w:tcW w:w="1276" w:type="dxa"/>
            <w:shd w:val="clear" w:color="auto" w:fill="auto"/>
          </w:tcPr>
          <w:p w14:paraId="163C57E6" w14:textId="77777777" w:rsidR="002D4E10" w:rsidRPr="00D95E51" w:rsidRDefault="002D4E10" w:rsidP="00224229">
            <w:pPr>
              <w:spacing w:line="360" w:lineRule="auto"/>
              <w:ind w:right="49" w:hanging="118"/>
              <w:jc w:val="center"/>
              <w:rPr>
                <w:sz w:val="22"/>
                <w:szCs w:val="22"/>
              </w:rPr>
            </w:pPr>
            <w:r w:rsidRPr="00D95E51">
              <w:rPr>
                <w:sz w:val="22"/>
                <w:szCs w:val="22"/>
              </w:rPr>
              <w:t xml:space="preserve">-2,56 </w:t>
            </w:r>
            <w:r w:rsidRPr="00D95E51">
              <w:rPr>
                <w:sz w:val="22"/>
                <w:szCs w:val="22"/>
              </w:rPr>
              <w:sym w:font="Symbol" w:char="F0B1"/>
            </w:r>
            <w:r w:rsidRPr="00D95E51">
              <w:rPr>
                <w:sz w:val="22"/>
                <w:szCs w:val="22"/>
              </w:rPr>
              <w:t xml:space="preserve"> 0,51</w:t>
            </w:r>
          </w:p>
        </w:tc>
        <w:tc>
          <w:tcPr>
            <w:tcW w:w="708" w:type="dxa"/>
            <w:shd w:val="clear" w:color="auto" w:fill="auto"/>
          </w:tcPr>
          <w:p w14:paraId="2404D910" w14:textId="77777777" w:rsidR="002D4E10" w:rsidRPr="00D95E51" w:rsidRDefault="002D4E10" w:rsidP="00224229">
            <w:pPr>
              <w:spacing w:line="360" w:lineRule="auto"/>
              <w:ind w:right="49" w:hanging="118"/>
              <w:jc w:val="center"/>
              <w:rPr>
                <w:sz w:val="22"/>
                <w:szCs w:val="22"/>
              </w:rPr>
            </w:pPr>
            <w:r w:rsidRPr="00D95E51">
              <w:rPr>
                <w:sz w:val="22"/>
                <w:szCs w:val="22"/>
              </w:rPr>
              <w:t>0,476</w:t>
            </w:r>
          </w:p>
        </w:tc>
      </w:tr>
      <w:bookmarkEnd w:id="10"/>
      <w:tr w:rsidR="002D4E10" w:rsidRPr="00D95E51" w14:paraId="139716F0" w14:textId="77777777" w:rsidTr="008B625E">
        <w:trPr>
          <w:trHeight w:val="413"/>
        </w:trPr>
        <w:tc>
          <w:tcPr>
            <w:tcW w:w="1696" w:type="dxa"/>
            <w:shd w:val="clear" w:color="auto" w:fill="auto"/>
          </w:tcPr>
          <w:p w14:paraId="759D0161" w14:textId="77777777" w:rsidR="002D4E10" w:rsidRPr="00D95E51" w:rsidRDefault="002D4E10" w:rsidP="00224229">
            <w:pPr>
              <w:spacing w:line="360" w:lineRule="auto"/>
              <w:ind w:right="49" w:hanging="115"/>
              <w:rPr>
                <w:b/>
                <w:bCs/>
                <w:sz w:val="22"/>
                <w:szCs w:val="22"/>
              </w:rPr>
            </w:pPr>
            <w:r w:rsidRPr="00D95E51">
              <w:rPr>
                <w:b/>
                <w:bCs/>
                <w:sz w:val="22"/>
                <w:szCs w:val="22"/>
              </w:rPr>
              <w:t>Thay đổi</w:t>
            </w:r>
          </w:p>
        </w:tc>
        <w:tc>
          <w:tcPr>
            <w:tcW w:w="1276" w:type="dxa"/>
            <w:shd w:val="clear" w:color="auto" w:fill="auto"/>
          </w:tcPr>
          <w:p w14:paraId="234AED43" w14:textId="77777777" w:rsidR="002D4E10" w:rsidRPr="00D95E51" w:rsidRDefault="002D4E10" w:rsidP="00224229">
            <w:pPr>
              <w:spacing w:line="360" w:lineRule="auto"/>
              <w:ind w:right="49" w:hanging="118"/>
              <w:jc w:val="center"/>
              <w:rPr>
                <w:sz w:val="22"/>
                <w:szCs w:val="22"/>
              </w:rPr>
            </w:pPr>
            <w:r w:rsidRPr="00D95E51">
              <w:rPr>
                <w:sz w:val="22"/>
                <w:szCs w:val="22"/>
              </w:rPr>
              <w:t xml:space="preserve"> 0,05 </w:t>
            </w:r>
            <w:r w:rsidRPr="00D95E51">
              <w:rPr>
                <w:sz w:val="22"/>
                <w:szCs w:val="22"/>
              </w:rPr>
              <w:sym w:font="Symbol" w:char="F0B1"/>
            </w:r>
            <w:r w:rsidRPr="00D95E51">
              <w:rPr>
                <w:sz w:val="22"/>
                <w:szCs w:val="22"/>
              </w:rPr>
              <w:t xml:space="preserve"> 0,37</w:t>
            </w:r>
          </w:p>
        </w:tc>
        <w:tc>
          <w:tcPr>
            <w:tcW w:w="1276" w:type="dxa"/>
            <w:shd w:val="clear" w:color="auto" w:fill="auto"/>
          </w:tcPr>
          <w:p w14:paraId="0C7CE31B" w14:textId="77777777" w:rsidR="002D4E10" w:rsidRPr="00D95E51" w:rsidRDefault="002D4E10" w:rsidP="00224229">
            <w:pPr>
              <w:spacing w:line="360" w:lineRule="auto"/>
              <w:ind w:right="49" w:hanging="118"/>
              <w:jc w:val="center"/>
              <w:rPr>
                <w:sz w:val="22"/>
                <w:szCs w:val="22"/>
              </w:rPr>
            </w:pPr>
            <w:r w:rsidRPr="00D95E51">
              <w:rPr>
                <w:sz w:val="22"/>
                <w:szCs w:val="22"/>
              </w:rPr>
              <w:t xml:space="preserve">0,04 </w:t>
            </w:r>
            <w:r w:rsidRPr="00D95E51">
              <w:rPr>
                <w:sz w:val="22"/>
                <w:szCs w:val="22"/>
              </w:rPr>
              <w:sym w:font="Symbol" w:char="F0B1"/>
            </w:r>
            <w:r w:rsidRPr="00D95E51">
              <w:rPr>
                <w:sz w:val="22"/>
                <w:szCs w:val="22"/>
              </w:rPr>
              <w:t xml:space="preserve"> 0,34</w:t>
            </w:r>
          </w:p>
        </w:tc>
        <w:tc>
          <w:tcPr>
            <w:tcW w:w="1276" w:type="dxa"/>
            <w:shd w:val="clear" w:color="auto" w:fill="auto"/>
          </w:tcPr>
          <w:p w14:paraId="2E214C64" w14:textId="77777777" w:rsidR="002D4E10" w:rsidRPr="00D95E51" w:rsidRDefault="002D4E10" w:rsidP="00224229">
            <w:pPr>
              <w:spacing w:line="360" w:lineRule="auto"/>
              <w:ind w:right="49" w:hanging="118"/>
              <w:jc w:val="center"/>
              <w:rPr>
                <w:sz w:val="22"/>
                <w:szCs w:val="22"/>
              </w:rPr>
            </w:pPr>
            <w:r w:rsidRPr="00D95E51">
              <w:rPr>
                <w:sz w:val="22"/>
                <w:szCs w:val="22"/>
              </w:rPr>
              <w:t xml:space="preserve"> 0,02 </w:t>
            </w:r>
            <w:r w:rsidRPr="00D95E51">
              <w:rPr>
                <w:sz w:val="22"/>
                <w:szCs w:val="22"/>
              </w:rPr>
              <w:sym w:font="Symbol" w:char="F0B1"/>
            </w:r>
            <w:r w:rsidRPr="00D95E51">
              <w:rPr>
                <w:sz w:val="22"/>
                <w:szCs w:val="22"/>
              </w:rPr>
              <w:t xml:space="preserve"> 0,32</w:t>
            </w:r>
          </w:p>
        </w:tc>
        <w:tc>
          <w:tcPr>
            <w:tcW w:w="708" w:type="dxa"/>
            <w:shd w:val="clear" w:color="auto" w:fill="auto"/>
          </w:tcPr>
          <w:p w14:paraId="4E7C5A0A" w14:textId="77777777" w:rsidR="002D4E10" w:rsidRPr="00D95E51" w:rsidRDefault="002D4E10" w:rsidP="00224229">
            <w:pPr>
              <w:spacing w:line="360" w:lineRule="auto"/>
              <w:ind w:right="49" w:hanging="118"/>
              <w:jc w:val="center"/>
              <w:rPr>
                <w:sz w:val="22"/>
                <w:szCs w:val="22"/>
              </w:rPr>
            </w:pPr>
          </w:p>
        </w:tc>
      </w:tr>
      <w:tr w:rsidR="002D4E10" w:rsidRPr="00D95E51" w14:paraId="40294EB2" w14:textId="77777777" w:rsidTr="008B625E">
        <w:trPr>
          <w:trHeight w:val="418"/>
        </w:trPr>
        <w:tc>
          <w:tcPr>
            <w:tcW w:w="1696" w:type="dxa"/>
            <w:shd w:val="clear" w:color="auto" w:fill="auto"/>
          </w:tcPr>
          <w:p w14:paraId="2657BED8" w14:textId="77777777" w:rsidR="002D4E10" w:rsidRPr="00D95E51" w:rsidRDefault="002D4E10" w:rsidP="00224229">
            <w:pPr>
              <w:spacing w:line="360" w:lineRule="auto"/>
              <w:ind w:right="49" w:hanging="118"/>
              <w:jc w:val="center"/>
              <w:rPr>
                <w:b/>
                <w:bCs/>
                <w:sz w:val="22"/>
                <w:szCs w:val="22"/>
                <w:vertAlign w:val="superscript"/>
              </w:rPr>
            </w:pPr>
            <w:r w:rsidRPr="00D95E51">
              <w:rPr>
                <w:b/>
                <w:bCs/>
                <w:sz w:val="22"/>
                <w:szCs w:val="22"/>
              </w:rPr>
              <w:t>p</w:t>
            </w:r>
            <w:r w:rsidRPr="00D95E51">
              <w:rPr>
                <w:b/>
                <w:bCs/>
                <w:sz w:val="22"/>
                <w:szCs w:val="22"/>
                <w:vertAlign w:val="superscript"/>
              </w:rPr>
              <w:t>2</w:t>
            </w:r>
          </w:p>
        </w:tc>
        <w:tc>
          <w:tcPr>
            <w:tcW w:w="1276" w:type="dxa"/>
            <w:shd w:val="clear" w:color="auto" w:fill="auto"/>
          </w:tcPr>
          <w:p w14:paraId="0F412D27" w14:textId="77777777" w:rsidR="002D4E10" w:rsidRPr="00D95E51" w:rsidRDefault="002D4E10" w:rsidP="00224229">
            <w:pPr>
              <w:spacing w:line="360" w:lineRule="auto"/>
              <w:ind w:right="49" w:hanging="118"/>
              <w:jc w:val="center"/>
              <w:rPr>
                <w:sz w:val="22"/>
                <w:szCs w:val="22"/>
              </w:rPr>
            </w:pPr>
            <w:r w:rsidRPr="00D95E51">
              <w:rPr>
                <w:sz w:val="22"/>
                <w:szCs w:val="22"/>
              </w:rPr>
              <w:t>0,177</w:t>
            </w:r>
          </w:p>
        </w:tc>
        <w:tc>
          <w:tcPr>
            <w:tcW w:w="1276" w:type="dxa"/>
            <w:shd w:val="clear" w:color="auto" w:fill="auto"/>
          </w:tcPr>
          <w:p w14:paraId="526DEBFC" w14:textId="77777777" w:rsidR="002D4E10" w:rsidRPr="00D95E51" w:rsidRDefault="002D4E10" w:rsidP="00224229">
            <w:pPr>
              <w:spacing w:line="360" w:lineRule="auto"/>
              <w:ind w:right="49" w:hanging="118"/>
              <w:jc w:val="center"/>
              <w:rPr>
                <w:sz w:val="22"/>
                <w:szCs w:val="22"/>
              </w:rPr>
            </w:pPr>
            <w:r w:rsidRPr="00D95E51">
              <w:rPr>
                <w:sz w:val="22"/>
                <w:szCs w:val="22"/>
              </w:rPr>
              <w:t>0,255</w:t>
            </w:r>
          </w:p>
        </w:tc>
        <w:tc>
          <w:tcPr>
            <w:tcW w:w="1276" w:type="dxa"/>
            <w:shd w:val="clear" w:color="auto" w:fill="auto"/>
          </w:tcPr>
          <w:p w14:paraId="5E0312F0" w14:textId="77777777" w:rsidR="002D4E10" w:rsidRPr="00D95E51" w:rsidRDefault="002D4E10" w:rsidP="00224229">
            <w:pPr>
              <w:spacing w:line="360" w:lineRule="auto"/>
              <w:ind w:right="49" w:hanging="118"/>
              <w:jc w:val="center"/>
              <w:rPr>
                <w:sz w:val="22"/>
                <w:szCs w:val="22"/>
              </w:rPr>
            </w:pPr>
            <w:r w:rsidRPr="00D95E51">
              <w:rPr>
                <w:sz w:val="22"/>
                <w:szCs w:val="22"/>
              </w:rPr>
              <w:t>0,466</w:t>
            </w:r>
          </w:p>
        </w:tc>
        <w:tc>
          <w:tcPr>
            <w:tcW w:w="708" w:type="dxa"/>
            <w:shd w:val="clear" w:color="auto" w:fill="auto"/>
          </w:tcPr>
          <w:p w14:paraId="36FA6CB6" w14:textId="77777777" w:rsidR="002D4E10" w:rsidRPr="00D95E51" w:rsidRDefault="002D4E10" w:rsidP="00224229">
            <w:pPr>
              <w:spacing w:line="360" w:lineRule="auto"/>
              <w:ind w:right="49" w:hanging="118"/>
              <w:jc w:val="center"/>
              <w:rPr>
                <w:sz w:val="22"/>
                <w:szCs w:val="22"/>
              </w:rPr>
            </w:pPr>
          </w:p>
        </w:tc>
      </w:tr>
    </w:tbl>
    <w:p w14:paraId="0BBCCE92" w14:textId="77777777" w:rsidR="002D4E10" w:rsidRPr="00D95E51" w:rsidRDefault="002D4E10" w:rsidP="002D4E10">
      <w:pPr>
        <w:widowControl w:val="0"/>
        <w:autoSpaceDE w:val="0"/>
        <w:autoSpaceDN w:val="0"/>
        <w:ind w:right="49" w:firstLine="567"/>
        <w:jc w:val="both"/>
        <w:rPr>
          <w:i/>
          <w:iCs/>
          <w:sz w:val="22"/>
          <w:szCs w:val="22"/>
        </w:rPr>
      </w:pPr>
      <w:bookmarkStart w:id="11" w:name="_Hlk107514551"/>
      <w:r w:rsidRPr="00D95E51">
        <w:rPr>
          <w:i/>
          <w:iCs/>
          <w:sz w:val="22"/>
          <w:szCs w:val="22"/>
        </w:rPr>
        <w:t>p</w:t>
      </w:r>
      <w:r w:rsidRPr="00D95E51">
        <w:rPr>
          <w:i/>
          <w:iCs/>
          <w:sz w:val="22"/>
          <w:szCs w:val="22"/>
          <w:vertAlign w:val="superscript"/>
        </w:rPr>
        <w:t>1</w:t>
      </w:r>
      <w:r w:rsidRPr="00D95E51">
        <w:rPr>
          <w:i/>
          <w:iCs/>
          <w:sz w:val="22"/>
          <w:szCs w:val="22"/>
        </w:rPr>
        <w:t>: so sánh 2 nhóm can thiệp và nhóm đối chứng cùng ở cùng thời điểm, sử dụng kiểm định ANOVA Test.</w:t>
      </w:r>
    </w:p>
    <w:p w14:paraId="654D6A96" w14:textId="77777777" w:rsidR="002D4E10" w:rsidRPr="00D95E51" w:rsidRDefault="002D4E10" w:rsidP="002D4E10">
      <w:pPr>
        <w:widowControl w:val="0"/>
        <w:autoSpaceDE w:val="0"/>
        <w:autoSpaceDN w:val="0"/>
        <w:ind w:right="49" w:firstLine="567"/>
        <w:jc w:val="both"/>
        <w:rPr>
          <w:i/>
          <w:iCs/>
          <w:sz w:val="22"/>
          <w:szCs w:val="22"/>
        </w:rPr>
      </w:pPr>
      <w:r w:rsidRPr="00D95E51">
        <w:rPr>
          <w:i/>
          <w:iCs/>
          <w:sz w:val="22"/>
          <w:szCs w:val="22"/>
        </w:rPr>
        <w:t>p</w:t>
      </w:r>
      <w:r w:rsidRPr="00D95E51">
        <w:rPr>
          <w:i/>
          <w:iCs/>
          <w:sz w:val="22"/>
          <w:szCs w:val="22"/>
          <w:vertAlign w:val="superscript"/>
        </w:rPr>
        <w:t>2</w:t>
      </w:r>
      <w:r w:rsidRPr="00D95E51">
        <w:rPr>
          <w:i/>
          <w:iCs/>
          <w:sz w:val="22"/>
          <w:szCs w:val="22"/>
        </w:rPr>
        <w:t xml:space="preserve">: so sánh cùng nhóm ở hai thời điểm trước và sau can thiệp, </w:t>
      </w:r>
      <w:r w:rsidRPr="00D95E51">
        <w:rPr>
          <w:i/>
          <w:iCs/>
          <w:sz w:val="22"/>
          <w:szCs w:val="22"/>
        </w:rPr>
        <w:lastRenderedPageBreak/>
        <w:t>sử dụng kiểm định t-Test ghép cặp.</w:t>
      </w:r>
    </w:p>
    <w:p w14:paraId="65FEFB7E" w14:textId="77777777" w:rsidR="002D4E10" w:rsidRPr="00D95E51" w:rsidRDefault="002D4E10" w:rsidP="002D4E10">
      <w:pPr>
        <w:ind w:right="49" w:firstLine="567"/>
        <w:jc w:val="both"/>
        <w:rPr>
          <w:b/>
          <w:bCs/>
          <w:sz w:val="22"/>
          <w:szCs w:val="22"/>
          <w:vertAlign w:val="superscript"/>
        </w:rPr>
      </w:pPr>
      <w:bookmarkStart w:id="12" w:name="_Hlk105834560"/>
      <w:bookmarkEnd w:id="11"/>
      <w:r w:rsidRPr="00D95E51">
        <w:rPr>
          <w:sz w:val="22"/>
          <w:szCs w:val="22"/>
        </w:rPr>
        <w:t xml:space="preserve">Ở nhóm chứng chỉ số HAZ trung bình trước can thiệp là: -2,66 </w:t>
      </w:r>
      <w:r w:rsidRPr="00D95E51">
        <w:rPr>
          <w:sz w:val="22"/>
          <w:szCs w:val="22"/>
        </w:rPr>
        <w:sym w:font="Symbol" w:char="F0B1"/>
      </w:r>
      <w:r w:rsidRPr="00D95E51">
        <w:rPr>
          <w:sz w:val="22"/>
          <w:szCs w:val="22"/>
        </w:rPr>
        <w:t xml:space="preserve"> 0,65, sau can thiệp là: -2,61 </w:t>
      </w:r>
      <w:r w:rsidRPr="00D95E51">
        <w:rPr>
          <w:sz w:val="22"/>
          <w:szCs w:val="22"/>
        </w:rPr>
        <w:sym w:font="Symbol" w:char="F0B1"/>
      </w:r>
      <w:r w:rsidRPr="00D95E51">
        <w:rPr>
          <w:sz w:val="22"/>
          <w:szCs w:val="22"/>
        </w:rPr>
        <w:t xml:space="preserve"> 0,63 thay đổi so với trước can thiệp là  0,05 </w:t>
      </w:r>
      <w:r w:rsidRPr="00D95E51">
        <w:rPr>
          <w:sz w:val="22"/>
          <w:szCs w:val="22"/>
        </w:rPr>
        <w:sym w:font="Symbol" w:char="F0B1"/>
      </w:r>
      <w:r w:rsidRPr="00D95E51">
        <w:rPr>
          <w:sz w:val="22"/>
          <w:szCs w:val="22"/>
        </w:rPr>
        <w:t xml:space="preserve"> 0,37. Ở nhóm bổ sung kẽm, chỉ số HAZ trung bình trước can thiệp là: -2,58 </w:t>
      </w:r>
      <w:r w:rsidRPr="00D95E51">
        <w:rPr>
          <w:sz w:val="22"/>
          <w:szCs w:val="22"/>
        </w:rPr>
        <w:sym w:font="Symbol" w:char="F0B1"/>
      </w:r>
      <w:r w:rsidRPr="00D95E51">
        <w:rPr>
          <w:sz w:val="22"/>
          <w:szCs w:val="22"/>
        </w:rPr>
        <w:t xml:space="preserve"> 0,49, sau can thiệp là:  - 2,54 </w:t>
      </w:r>
      <w:r w:rsidRPr="00D95E51">
        <w:rPr>
          <w:sz w:val="22"/>
          <w:szCs w:val="22"/>
        </w:rPr>
        <w:sym w:font="Symbol" w:char="F0B1"/>
      </w:r>
      <w:r w:rsidRPr="00D95E51">
        <w:rPr>
          <w:sz w:val="22"/>
          <w:szCs w:val="22"/>
        </w:rPr>
        <w:t xml:space="preserve"> 0,53 thay đổi so với trước can thiệp là 0,04 </w:t>
      </w:r>
      <w:r w:rsidRPr="00D95E51">
        <w:rPr>
          <w:sz w:val="22"/>
          <w:szCs w:val="22"/>
        </w:rPr>
        <w:sym w:font="Symbol" w:char="F0B1"/>
      </w:r>
      <w:r w:rsidRPr="00D95E51">
        <w:rPr>
          <w:sz w:val="22"/>
          <w:szCs w:val="22"/>
        </w:rPr>
        <w:t xml:space="preserve"> 0,34; Nhóm bổ sung sắt - kẽm chỉ số HAZ trung bình trước can thiệp là: -2.58 </w:t>
      </w:r>
      <w:r w:rsidRPr="00D95E51">
        <w:rPr>
          <w:sz w:val="22"/>
          <w:szCs w:val="22"/>
        </w:rPr>
        <w:sym w:font="Symbol" w:char="F0B1"/>
      </w:r>
      <w:r w:rsidRPr="00D95E51">
        <w:rPr>
          <w:sz w:val="22"/>
          <w:szCs w:val="22"/>
        </w:rPr>
        <w:t xml:space="preserve"> 0,45, sau can thiệp là: -2,56 </w:t>
      </w:r>
      <w:r w:rsidRPr="00D95E51">
        <w:rPr>
          <w:sz w:val="22"/>
          <w:szCs w:val="22"/>
        </w:rPr>
        <w:sym w:font="Symbol" w:char="F0B1"/>
      </w:r>
      <w:r w:rsidRPr="00D95E51">
        <w:rPr>
          <w:sz w:val="22"/>
          <w:szCs w:val="22"/>
        </w:rPr>
        <w:t xml:space="preserve"> 0,51 thay đổi so với trước can thiệp là: 0,02 </w:t>
      </w:r>
      <w:r w:rsidRPr="00D95E51">
        <w:rPr>
          <w:sz w:val="22"/>
          <w:szCs w:val="22"/>
        </w:rPr>
        <w:sym w:font="Symbol" w:char="F0B1"/>
      </w:r>
      <w:r w:rsidRPr="00D95E51">
        <w:rPr>
          <w:sz w:val="22"/>
          <w:szCs w:val="22"/>
        </w:rPr>
        <w:t xml:space="preserve"> 0,32. Mặc dù có sự thay đổi sau can thiệp giảm so với trước can thiệp của các nhóm nhưng chưa thấy có ý nghĩa thống kê (p&gt;0</w:t>
      </w:r>
      <w:proofErr w:type="gramStart"/>
      <w:r w:rsidRPr="00D95E51">
        <w:rPr>
          <w:sz w:val="22"/>
          <w:szCs w:val="22"/>
        </w:rPr>
        <w:t>,05</w:t>
      </w:r>
      <w:proofErr w:type="gramEnd"/>
      <w:r w:rsidRPr="00D95E51">
        <w:rPr>
          <w:sz w:val="22"/>
          <w:szCs w:val="22"/>
        </w:rPr>
        <w:t>)</w:t>
      </w:r>
      <w:bookmarkEnd w:id="12"/>
    </w:p>
    <w:p w14:paraId="02030C69" w14:textId="4BD3CC4B" w:rsidR="002D4E10" w:rsidRPr="00D95E51" w:rsidRDefault="002D4E10" w:rsidP="008D4648">
      <w:pPr>
        <w:pStyle w:val="Caption"/>
        <w:spacing w:before="0" w:after="0" w:line="312" w:lineRule="auto"/>
        <w:ind w:firstLine="567"/>
        <w:rPr>
          <w:b/>
          <w:bCs/>
          <w:iCs w:val="0"/>
          <w:spacing w:val="-6"/>
          <w:sz w:val="22"/>
          <w:szCs w:val="22"/>
        </w:rPr>
      </w:pPr>
      <w:bookmarkStart w:id="13" w:name="_Toc137282930"/>
      <w:r w:rsidRPr="00D95E51">
        <w:rPr>
          <w:b/>
          <w:spacing w:val="-6"/>
          <w:sz w:val="22"/>
          <w:szCs w:val="22"/>
        </w:rPr>
        <w:t xml:space="preserve">Bảng 3. </w:t>
      </w:r>
      <w:r w:rsidRPr="00D95E51">
        <w:rPr>
          <w:b/>
          <w:spacing w:val="-6"/>
          <w:sz w:val="22"/>
          <w:szCs w:val="22"/>
        </w:rPr>
        <w:fldChar w:fldCharType="begin"/>
      </w:r>
      <w:r w:rsidRPr="00D95E51">
        <w:rPr>
          <w:b/>
          <w:spacing w:val="-6"/>
          <w:sz w:val="22"/>
          <w:szCs w:val="22"/>
        </w:rPr>
        <w:instrText xml:space="preserve"> SEQ Bảng_3. \* ARABIC </w:instrText>
      </w:r>
      <w:r w:rsidRPr="00D95E51">
        <w:rPr>
          <w:b/>
          <w:spacing w:val="-6"/>
          <w:sz w:val="22"/>
          <w:szCs w:val="22"/>
        </w:rPr>
        <w:fldChar w:fldCharType="separate"/>
      </w:r>
      <w:r w:rsidR="003C4637">
        <w:rPr>
          <w:b/>
          <w:noProof/>
          <w:spacing w:val="-6"/>
          <w:sz w:val="22"/>
          <w:szCs w:val="22"/>
        </w:rPr>
        <w:t>2</w:t>
      </w:r>
      <w:r w:rsidRPr="00D95E51">
        <w:rPr>
          <w:b/>
          <w:spacing w:val="-6"/>
          <w:sz w:val="22"/>
          <w:szCs w:val="22"/>
        </w:rPr>
        <w:fldChar w:fldCharType="end"/>
      </w:r>
      <w:r w:rsidRPr="00D95E51">
        <w:rPr>
          <w:b/>
          <w:bCs/>
          <w:iCs w:val="0"/>
          <w:spacing w:val="-6"/>
          <w:sz w:val="22"/>
          <w:szCs w:val="22"/>
        </w:rPr>
        <w:t xml:space="preserve">. </w:t>
      </w:r>
      <w:r w:rsidRPr="00D95E51">
        <w:rPr>
          <w:rFonts w:eastAsia="Times New Roman"/>
          <w:b/>
          <w:bCs/>
          <w:spacing w:val="-6"/>
          <w:sz w:val="22"/>
          <w:szCs w:val="22"/>
          <w:lang w:eastAsia="ja-JP"/>
        </w:rPr>
        <w:t xml:space="preserve">Kết quả </w:t>
      </w:r>
      <w:r w:rsidRPr="00D95E51">
        <w:rPr>
          <w:b/>
          <w:bCs/>
          <w:spacing w:val="-6"/>
          <w:sz w:val="22"/>
          <w:szCs w:val="22"/>
        </w:rPr>
        <w:t xml:space="preserve">thay đổi chỉ số </w:t>
      </w:r>
      <w:r w:rsidRPr="00D95E51">
        <w:rPr>
          <w:rFonts w:eastAsia="Times New Roman"/>
          <w:b/>
          <w:bCs/>
          <w:spacing w:val="-6"/>
          <w:sz w:val="22"/>
          <w:szCs w:val="22"/>
        </w:rPr>
        <w:t>Z-score cân nặng/</w:t>
      </w:r>
      <w:r w:rsidR="0066336A" w:rsidRPr="00D95E51">
        <w:rPr>
          <w:rFonts w:eastAsia="Times New Roman"/>
          <w:b/>
          <w:bCs/>
          <w:spacing w:val="-6"/>
          <w:sz w:val="22"/>
          <w:szCs w:val="22"/>
        </w:rPr>
        <w:t xml:space="preserve"> </w:t>
      </w:r>
      <w:r w:rsidRPr="00D95E51">
        <w:rPr>
          <w:rFonts w:eastAsia="Times New Roman"/>
          <w:b/>
          <w:bCs/>
          <w:spacing w:val="-6"/>
          <w:sz w:val="22"/>
          <w:szCs w:val="22"/>
        </w:rPr>
        <w:t xml:space="preserve">tuổi </w:t>
      </w:r>
      <w:r w:rsidRPr="00D95E51">
        <w:rPr>
          <w:b/>
          <w:bCs/>
          <w:spacing w:val="-6"/>
          <w:sz w:val="22"/>
          <w:szCs w:val="22"/>
        </w:rPr>
        <w:t>của đối tượng nghiên cứu sau 6 tháng can thiệp</w:t>
      </w:r>
      <w:bookmarkEnd w:id="13"/>
    </w:p>
    <w:tbl>
      <w:tblPr>
        <w:tblW w:w="6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1283"/>
        <w:gridCol w:w="1283"/>
        <w:gridCol w:w="1283"/>
        <w:gridCol w:w="703"/>
      </w:tblGrid>
      <w:tr w:rsidR="002D4E10" w:rsidRPr="00D95E51" w14:paraId="7C08E7BC" w14:textId="77777777" w:rsidTr="007B4414">
        <w:trPr>
          <w:trHeight w:val="218"/>
        </w:trPr>
        <w:tc>
          <w:tcPr>
            <w:tcW w:w="1706" w:type="dxa"/>
            <w:vMerge w:val="restart"/>
            <w:shd w:val="clear" w:color="auto" w:fill="auto"/>
          </w:tcPr>
          <w:p w14:paraId="49FFC061" w14:textId="77777777" w:rsidR="002D4E10" w:rsidRPr="00D95E51" w:rsidRDefault="002D4E10" w:rsidP="00615EB7">
            <w:pPr>
              <w:ind w:right="-22"/>
              <w:jc w:val="center"/>
              <w:rPr>
                <w:b/>
                <w:bCs/>
                <w:sz w:val="22"/>
                <w:szCs w:val="22"/>
              </w:rPr>
            </w:pPr>
            <w:bookmarkStart w:id="14" w:name="_Hlk102398556"/>
          </w:p>
          <w:p w14:paraId="738437D5" w14:textId="77777777" w:rsidR="002D4E10" w:rsidRPr="00D95E51" w:rsidRDefault="002D4E10" w:rsidP="00615EB7">
            <w:pPr>
              <w:ind w:right="-22"/>
              <w:jc w:val="center"/>
              <w:rPr>
                <w:b/>
                <w:bCs/>
                <w:sz w:val="22"/>
                <w:szCs w:val="22"/>
              </w:rPr>
            </w:pPr>
            <w:r w:rsidRPr="00D95E51">
              <w:rPr>
                <w:b/>
                <w:bCs/>
                <w:sz w:val="22"/>
                <w:szCs w:val="22"/>
              </w:rPr>
              <w:t>Chỉ số WAZ</w:t>
            </w:r>
          </w:p>
        </w:tc>
        <w:tc>
          <w:tcPr>
            <w:tcW w:w="4552" w:type="dxa"/>
            <w:gridSpan w:val="4"/>
            <w:shd w:val="clear" w:color="auto" w:fill="auto"/>
          </w:tcPr>
          <w:p w14:paraId="325EDB1E" w14:textId="77777777" w:rsidR="002D4E10" w:rsidRPr="00D95E51" w:rsidRDefault="002D4E10" w:rsidP="00615EB7">
            <w:pPr>
              <w:ind w:right="-22"/>
              <w:jc w:val="center"/>
              <w:rPr>
                <w:b/>
                <w:bCs/>
                <w:sz w:val="22"/>
                <w:szCs w:val="22"/>
              </w:rPr>
            </w:pPr>
            <w:r w:rsidRPr="00D95E51">
              <w:rPr>
                <w:b/>
                <w:bCs/>
                <w:sz w:val="22"/>
                <w:szCs w:val="22"/>
              </w:rPr>
              <w:t>Nhóm nghiên cứu</w:t>
            </w:r>
          </w:p>
        </w:tc>
      </w:tr>
      <w:tr w:rsidR="002D4E10" w:rsidRPr="00D95E51" w14:paraId="011BE019" w14:textId="77777777" w:rsidTr="007B4414">
        <w:trPr>
          <w:trHeight w:val="475"/>
        </w:trPr>
        <w:tc>
          <w:tcPr>
            <w:tcW w:w="1706" w:type="dxa"/>
            <w:vMerge/>
            <w:shd w:val="clear" w:color="auto" w:fill="auto"/>
          </w:tcPr>
          <w:p w14:paraId="7CAF0F54" w14:textId="77777777" w:rsidR="002D4E10" w:rsidRPr="00D95E51" w:rsidRDefault="002D4E10" w:rsidP="00615EB7">
            <w:pPr>
              <w:ind w:right="-22"/>
              <w:jc w:val="center"/>
              <w:rPr>
                <w:b/>
                <w:bCs/>
                <w:sz w:val="22"/>
                <w:szCs w:val="22"/>
              </w:rPr>
            </w:pPr>
          </w:p>
        </w:tc>
        <w:tc>
          <w:tcPr>
            <w:tcW w:w="1283" w:type="dxa"/>
            <w:shd w:val="clear" w:color="auto" w:fill="auto"/>
          </w:tcPr>
          <w:p w14:paraId="62EC096B" w14:textId="77777777" w:rsidR="002D4E10" w:rsidRPr="00D95E51" w:rsidRDefault="002D4E10" w:rsidP="00615EB7">
            <w:pPr>
              <w:ind w:right="-22"/>
              <w:jc w:val="center"/>
              <w:rPr>
                <w:b/>
                <w:bCs/>
                <w:sz w:val="22"/>
                <w:szCs w:val="22"/>
              </w:rPr>
            </w:pPr>
            <w:r w:rsidRPr="00D95E51">
              <w:rPr>
                <w:b/>
                <w:bCs/>
                <w:sz w:val="22"/>
                <w:szCs w:val="22"/>
              </w:rPr>
              <w:t>Nhóm chứng</w:t>
            </w:r>
          </w:p>
          <w:p w14:paraId="14322A1C" w14:textId="77777777" w:rsidR="002D4E10" w:rsidRPr="00D95E51" w:rsidRDefault="002D4E10" w:rsidP="00615EB7">
            <w:pPr>
              <w:ind w:right="-22"/>
              <w:jc w:val="center"/>
              <w:rPr>
                <w:b/>
                <w:bCs/>
                <w:sz w:val="22"/>
                <w:szCs w:val="22"/>
              </w:rPr>
            </w:pPr>
            <w:r w:rsidRPr="00D95E51">
              <w:rPr>
                <w:b/>
                <w:bCs/>
                <w:sz w:val="22"/>
                <w:szCs w:val="22"/>
              </w:rPr>
              <w:t>(n=99)</w:t>
            </w:r>
          </w:p>
        </w:tc>
        <w:tc>
          <w:tcPr>
            <w:tcW w:w="1283" w:type="dxa"/>
            <w:shd w:val="clear" w:color="auto" w:fill="auto"/>
          </w:tcPr>
          <w:p w14:paraId="63863EA6" w14:textId="77777777" w:rsidR="002D4E10" w:rsidRPr="00D95E51" w:rsidRDefault="002D4E10" w:rsidP="00615EB7">
            <w:pPr>
              <w:ind w:right="-22"/>
              <w:jc w:val="center"/>
              <w:rPr>
                <w:b/>
                <w:bCs/>
                <w:sz w:val="22"/>
                <w:szCs w:val="22"/>
              </w:rPr>
            </w:pPr>
            <w:r w:rsidRPr="00D95E51">
              <w:rPr>
                <w:b/>
                <w:bCs/>
                <w:sz w:val="22"/>
                <w:szCs w:val="22"/>
              </w:rPr>
              <w:t>Nhóm bổ sung kẽm (n=94)</w:t>
            </w:r>
          </w:p>
        </w:tc>
        <w:tc>
          <w:tcPr>
            <w:tcW w:w="1283" w:type="dxa"/>
            <w:shd w:val="clear" w:color="auto" w:fill="auto"/>
          </w:tcPr>
          <w:p w14:paraId="301E5546" w14:textId="77777777" w:rsidR="002D4E10" w:rsidRPr="00D95E51" w:rsidRDefault="002D4E10" w:rsidP="00615EB7">
            <w:pPr>
              <w:ind w:right="-22"/>
              <w:rPr>
                <w:b/>
                <w:bCs/>
                <w:sz w:val="22"/>
                <w:szCs w:val="22"/>
              </w:rPr>
            </w:pPr>
            <w:r w:rsidRPr="00D95E51">
              <w:rPr>
                <w:b/>
                <w:bCs/>
                <w:sz w:val="22"/>
                <w:szCs w:val="22"/>
              </w:rPr>
              <w:t>Nhóm bổ sung sắt-kẽm (n=99)</w:t>
            </w:r>
          </w:p>
        </w:tc>
        <w:tc>
          <w:tcPr>
            <w:tcW w:w="701" w:type="dxa"/>
            <w:shd w:val="clear" w:color="auto" w:fill="auto"/>
          </w:tcPr>
          <w:p w14:paraId="16BA38A5" w14:textId="77777777" w:rsidR="002D4E10" w:rsidRPr="00D95E51" w:rsidRDefault="002D4E10" w:rsidP="00615EB7">
            <w:pPr>
              <w:ind w:right="-22"/>
              <w:jc w:val="center"/>
              <w:rPr>
                <w:b/>
                <w:bCs/>
                <w:sz w:val="22"/>
                <w:szCs w:val="22"/>
                <w:vertAlign w:val="superscript"/>
              </w:rPr>
            </w:pPr>
            <w:r w:rsidRPr="00D95E51">
              <w:rPr>
                <w:b/>
                <w:bCs/>
                <w:sz w:val="22"/>
                <w:szCs w:val="22"/>
              </w:rPr>
              <w:t>p</w:t>
            </w:r>
            <w:r w:rsidRPr="00D95E51">
              <w:rPr>
                <w:b/>
                <w:bCs/>
                <w:sz w:val="22"/>
                <w:szCs w:val="22"/>
                <w:vertAlign w:val="superscript"/>
              </w:rPr>
              <w:t>1</w:t>
            </w:r>
          </w:p>
        </w:tc>
      </w:tr>
      <w:tr w:rsidR="002D4E10" w:rsidRPr="00D95E51" w14:paraId="46C7C2C0" w14:textId="77777777" w:rsidTr="007B4414">
        <w:trPr>
          <w:trHeight w:val="234"/>
        </w:trPr>
        <w:tc>
          <w:tcPr>
            <w:tcW w:w="1706" w:type="dxa"/>
            <w:shd w:val="clear" w:color="auto" w:fill="auto"/>
          </w:tcPr>
          <w:p w14:paraId="2570BD81" w14:textId="77777777" w:rsidR="002D4E10" w:rsidRPr="00D95E51" w:rsidRDefault="002D4E10" w:rsidP="00990C60">
            <w:pPr>
              <w:ind w:right="-105"/>
              <w:rPr>
                <w:b/>
                <w:bCs/>
                <w:sz w:val="22"/>
                <w:szCs w:val="22"/>
              </w:rPr>
            </w:pPr>
            <w:r w:rsidRPr="00D95E51">
              <w:rPr>
                <w:b/>
                <w:bCs/>
                <w:sz w:val="22"/>
                <w:szCs w:val="22"/>
              </w:rPr>
              <w:t xml:space="preserve">Trước can thiệp </w:t>
            </w:r>
          </w:p>
        </w:tc>
        <w:tc>
          <w:tcPr>
            <w:tcW w:w="1283" w:type="dxa"/>
            <w:shd w:val="clear" w:color="auto" w:fill="auto"/>
          </w:tcPr>
          <w:p w14:paraId="7122CDF6" w14:textId="77777777" w:rsidR="002D4E10" w:rsidRPr="00D95E51" w:rsidRDefault="002D4E10" w:rsidP="00990C60">
            <w:pPr>
              <w:ind w:right="-22" w:hanging="110"/>
              <w:jc w:val="center"/>
              <w:rPr>
                <w:sz w:val="22"/>
                <w:szCs w:val="22"/>
              </w:rPr>
            </w:pPr>
            <w:r w:rsidRPr="00D95E51">
              <w:rPr>
                <w:sz w:val="22"/>
                <w:szCs w:val="22"/>
              </w:rPr>
              <w:t xml:space="preserve">-2,13 </w:t>
            </w:r>
            <w:r w:rsidRPr="00D95E51">
              <w:rPr>
                <w:sz w:val="22"/>
                <w:szCs w:val="22"/>
              </w:rPr>
              <w:sym w:font="Symbol" w:char="F0B1"/>
            </w:r>
            <w:r w:rsidRPr="00D95E51">
              <w:rPr>
                <w:sz w:val="22"/>
                <w:szCs w:val="22"/>
              </w:rPr>
              <w:t xml:space="preserve"> 0,69</w:t>
            </w:r>
          </w:p>
        </w:tc>
        <w:tc>
          <w:tcPr>
            <w:tcW w:w="1283" w:type="dxa"/>
            <w:shd w:val="clear" w:color="auto" w:fill="auto"/>
          </w:tcPr>
          <w:p w14:paraId="5F444260" w14:textId="77777777" w:rsidR="002D4E10" w:rsidRPr="00D95E51" w:rsidRDefault="002D4E10" w:rsidP="00990C60">
            <w:pPr>
              <w:ind w:right="-22" w:hanging="110"/>
              <w:jc w:val="center"/>
              <w:rPr>
                <w:sz w:val="22"/>
                <w:szCs w:val="22"/>
              </w:rPr>
            </w:pPr>
            <w:r w:rsidRPr="00D95E51">
              <w:rPr>
                <w:sz w:val="22"/>
                <w:szCs w:val="22"/>
              </w:rPr>
              <w:t xml:space="preserve">-2,04 </w:t>
            </w:r>
            <w:r w:rsidRPr="00D95E51">
              <w:rPr>
                <w:sz w:val="22"/>
                <w:szCs w:val="22"/>
              </w:rPr>
              <w:sym w:font="Symbol" w:char="F0B1"/>
            </w:r>
            <w:r w:rsidRPr="00D95E51">
              <w:rPr>
                <w:sz w:val="22"/>
                <w:szCs w:val="22"/>
              </w:rPr>
              <w:t xml:space="preserve"> 0,62</w:t>
            </w:r>
          </w:p>
        </w:tc>
        <w:tc>
          <w:tcPr>
            <w:tcW w:w="1283" w:type="dxa"/>
            <w:shd w:val="clear" w:color="auto" w:fill="auto"/>
          </w:tcPr>
          <w:p w14:paraId="58B3439A" w14:textId="77777777" w:rsidR="002D4E10" w:rsidRPr="00D95E51" w:rsidRDefault="002D4E10" w:rsidP="00990C60">
            <w:pPr>
              <w:ind w:right="-22" w:hanging="110"/>
              <w:jc w:val="center"/>
              <w:rPr>
                <w:sz w:val="22"/>
                <w:szCs w:val="22"/>
              </w:rPr>
            </w:pPr>
            <w:r w:rsidRPr="00D95E51">
              <w:rPr>
                <w:sz w:val="22"/>
                <w:szCs w:val="22"/>
              </w:rPr>
              <w:t>- 2,01</w:t>
            </w:r>
            <w:r w:rsidRPr="00D95E51">
              <w:rPr>
                <w:sz w:val="22"/>
                <w:szCs w:val="22"/>
              </w:rPr>
              <w:sym w:font="Symbol" w:char="F0B1"/>
            </w:r>
            <w:r w:rsidRPr="00D95E51">
              <w:rPr>
                <w:sz w:val="22"/>
                <w:szCs w:val="22"/>
              </w:rPr>
              <w:t xml:space="preserve"> 0,58</w:t>
            </w:r>
          </w:p>
        </w:tc>
        <w:tc>
          <w:tcPr>
            <w:tcW w:w="701" w:type="dxa"/>
            <w:shd w:val="clear" w:color="auto" w:fill="auto"/>
          </w:tcPr>
          <w:p w14:paraId="703545E8" w14:textId="77777777" w:rsidR="002D4E10" w:rsidRPr="00D95E51" w:rsidRDefault="002D4E10" w:rsidP="00990C60">
            <w:pPr>
              <w:ind w:right="-22" w:hanging="110"/>
              <w:jc w:val="center"/>
              <w:rPr>
                <w:sz w:val="22"/>
                <w:szCs w:val="22"/>
              </w:rPr>
            </w:pPr>
            <w:r w:rsidRPr="00D95E51">
              <w:rPr>
                <w:sz w:val="22"/>
                <w:szCs w:val="22"/>
              </w:rPr>
              <w:t>0,343</w:t>
            </w:r>
          </w:p>
        </w:tc>
      </w:tr>
      <w:tr w:rsidR="002D4E10" w:rsidRPr="00D95E51" w14:paraId="30A0A78A" w14:textId="77777777" w:rsidTr="007B4414">
        <w:trPr>
          <w:trHeight w:val="237"/>
        </w:trPr>
        <w:tc>
          <w:tcPr>
            <w:tcW w:w="1706" w:type="dxa"/>
            <w:shd w:val="clear" w:color="auto" w:fill="auto"/>
          </w:tcPr>
          <w:p w14:paraId="7887281F" w14:textId="77777777" w:rsidR="002D4E10" w:rsidRPr="00D95E51" w:rsidRDefault="002D4E10" w:rsidP="00990C60">
            <w:pPr>
              <w:ind w:right="-22"/>
              <w:rPr>
                <w:b/>
                <w:bCs/>
                <w:sz w:val="22"/>
                <w:szCs w:val="22"/>
              </w:rPr>
            </w:pPr>
            <w:r w:rsidRPr="00D95E51">
              <w:rPr>
                <w:b/>
                <w:bCs/>
                <w:sz w:val="22"/>
                <w:szCs w:val="22"/>
              </w:rPr>
              <w:t xml:space="preserve">Sau can thiệp </w:t>
            </w:r>
          </w:p>
        </w:tc>
        <w:tc>
          <w:tcPr>
            <w:tcW w:w="1283" w:type="dxa"/>
            <w:shd w:val="clear" w:color="auto" w:fill="auto"/>
          </w:tcPr>
          <w:p w14:paraId="741B2E6F" w14:textId="77777777" w:rsidR="002D4E10" w:rsidRPr="00D95E51" w:rsidRDefault="002D4E10" w:rsidP="00990C60">
            <w:pPr>
              <w:ind w:right="-22" w:hanging="110"/>
              <w:jc w:val="center"/>
              <w:rPr>
                <w:sz w:val="22"/>
                <w:szCs w:val="22"/>
              </w:rPr>
            </w:pPr>
            <w:r w:rsidRPr="00D95E51">
              <w:rPr>
                <w:sz w:val="22"/>
                <w:szCs w:val="22"/>
              </w:rPr>
              <w:t xml:space="preserve">-1,81 </w:t>
            </w:r>
            <w:r w:rsidRPr="00D95E51">
              <w:rPr>
                <w:sz w:val="22"/>
                <w:szCs w:val="22"/>
              </w:rPr>
              <w:sym w:font="Symbol" w:char="F0B1"/>
            </w:r>
            <w:r w:rsidRPr="00D95E51">
              <w:rPr>
                <w:sz w:val="22"/>
                <w:szCs w:val="22"/>
              </w:rPr>
              <w:t xml:space="preserve"> 0,68</w:t>
            </w:r>
          </w:p>
        </w:tc>
        <w:tc>
          <w:tcPr>
            <w:tcW w:w="1283" w:type="dxa"/>
            <w:shd w:val="clear" w:color="auto" w:fill="auto"/>
          </w:tcPr>
          <w:p w14:paraId="51D15E38" w14:textId="77777777" w:rsidR="002D4E10" w:rsidRPr="00D95E51" w:rsidRDefault="002D4E10" w:rsidP="00990C60">
            <w:pPr>
              <w:ind w:right="-22" w:hanging="110"/>
              <w:jc w:val="center"/>
              <w:rPr>
                <w:sz w:val="22"/>
                <w:szCs w:val="22"/>
              </w:rPr>
            </w:pPr>
            <w:r w:rsidRPr="00D95E51">
              <w:rPr>
                <w:sz w:val="22"/>
                <w:szCs w:val="22"/>
              </w:rPr>
              <w:t xml:space="preserve">-1,62 </w:t>
            </w:r>
            <w:r w:rsidRPr="00D95E51">
              <w:rPr>
                <w:sz w:val="22"/>
                <w:szCs w:val="22"/>
              </w:rPr>
              <w:sym w:font="Symbol" w:char="F0B1"/>
            </w:r>
            <w:r w:rsidRPr="00D95E51">
              <w:rPr>
                <w:sz w:val="22"/>
                <w:szCs w:val="22"/>
              </w:rPr>
              <w:t xml:space="preserve"> 0,67</w:t>
            </w:r>
          </w:p>
        </w:tc>
        <w:tc>
          <w:tcPr>
            <w:tcW w:w="1283" w:type="dxa"/>
            <w:shd w:val="clear" w:color="auto" w:fill="auto"/>
          </w:tcPr>
          <w:p w14:paraId="68187AF5" w14:textId="77777777" w:rsidR="002D4E10" w:rsidRPr="00D95E51" w:rsidRDefault="002D4E10" w:rsidP="00990C60">
            <w:pPr>
              <w:ind w:right="-22" w:hanging="110"/>
              <w:jc w:val="center"/>
              <w:rPr>
                <w:sz w:val="22"/>
                <w:szCs w:val="22"/>
              </w:rPr>
            </w:pPr>
            <w:r w:rsidRPr="00D95E51">
              <w:rPr>
                <w:sz w:val="22"/>
                <w:szCs w:val="22"/>
              </w:rPr>
              <w:t xml:space="preserve">- 1,65 </w:t>
            </w:r>
            <w:r w:rsidRPr="00D95E51">
              <w:rPr>
                <w:sz w:val="22"/>
                <w:szCs w:val="22"/>
              </w:rPr>
              <w:sym w:font="Symbol" w:char="F0B1"/>
            </w:r>
            <w:r w:rsidRPr="00D95E51">
              <w:rPr>
                <w:sz w:val="22"/>
                <w:szCs w:val="22"/>
              </w:rPr>
              <w:t xml:space="preserve"> 0,57</w:t>
            </w:r>
          </w:p>
        </w:tc>
        <w:tc>
          <w:tcPr>
            <w:tcW w:w="701" w:type="dxa"/>
            <w:shd w:val="clear" w:color="auto" w:fill="auto"/>
          </w:tcPr>
          <w:p w14:paraId="0E32096F" w14:textId="77777777" w:rsidR="002D4E10" w:rsidRPr="00D95E51" w:rsidRDefault="002D4E10" w:rsidP="00990C60">
            <w:pPr>
              <w:ind w:right="-22" w:hanging="110"/>
              <w:jc w:val="center"/>
              <w:rPr>
                <w:sz w:val="22"/>
                <w:szCs w:val="22"/>
              </w:rPr>
            </w:pPr>
            <w:r w:rsidRPr="00D95E51">
              <w:rPr>
                <w:sz w:val="22"/>
                <w:szCs w:val="22"/>
              </w:rPr>
              <w:t>0,103</w:t>
            </w:r>
          </w:p>
        </w:tc>
      </w:tr>
      <w:tr w:rsidR="002D4E10" w:rsidRPr="00D95E51" w14:paraId="6D915085" w14:textId="77777777" w:rsidTr="007B4414">
        <w:trPr>
          <w:trHeight w:val="226"/>
        </w:trPr>
        <w:tc>
          <w:tcPr>
            <w:tcW w:w="1706" w:type="dxa"/>
            <w:shd w:val="clear" w:color="auto" w:fill="auto"/>
          </w:tcPr>
          <w:p w14:paraId="1E482629" w14:textId="77777777" w:rsidR="002D4E10" w:rsidRPr="00D95E51" w:rsidRDefault="002D4E10" w:rsidP="00990C60">
            <w:pPr>
              <w:ind w:right="-22"/>
              <w:rPr>
                <w:b/>
                <w:bCs/>
                <w:sz w:val="22"/>
                <w:szCs w:val="22"/>
              </w:rPr>
            </w:pPr>
            <w:r w:rsidRPr="00D95E51">
              <w:rPr>
                <w:b/>
                <w:bCs/>
                <w:sz w:val="22"/>
                <w:szCs w:val="22"/>
              </w:rPr>
              <w:t>Thay đổi</w:t>
            </w:r>
          </w:p>
        </w:tc>
        <w:tc>
          <w:tcPr>
            <w:tcW w:w="1283" w:type="dxa"/>
            <w:shd w:val="clear" w:color="auto" w:fill="auto"/>
          </w:tcPr>
          <w:p w14:paraId="50ECC23E" w14:textId="77777777" w:rsidR="002D4E10" w:rsidRPr="00D95E51" w:rsidRDefault="002D4E10" w:rsidP="00990C60">
            <w:pPr>
              <w:ind w:right="-22" w:hanging="110"/>
              <w:jc w:val="center"/>
              <w:rPr>
                <w:sz w:val="22"/>
                <w:szCs w:val="22"/>
              </w:rPr>
            </w:pPr>
            <w:r w:rsidRPr="00D95E51">
              <w:rPr>
                <w:sz w:val="22"/>
                <w:szCs w:val="22"/>
              </w:rPr>
              <w:t xml:space="preserve">0,32 </w:t>
            </w:r>
            <w:r w:rsidRPr="00D95E51">
              <w:rPr>
                <w:sz w:val="22"/>
                <w:szCs w:val="22"/>
              </w:rPr>
              <w:sym w:font="Symbol" w:char="F0B1"/>
            </w:r>
            <w:r w:rsidRPr="00D95E51">
              <w:rPr>
                <w:sz w:val="22"/>
                <w:szCs w:val="22"/>
              </w:rPr>
              <w:t xml:space="preserve"> 0,33</w:t>
            </w:r>
          </w:p>
        </w:tc>
        <w:tc>
          <w:tcPr>
            <w:tcW w:w="1283" w:type="dxa"/>
            <w:shd w:val="clear" w:color="auto" w:fill="auto"/>
          </w:tcPr>
          <w:p w14:paraId="25E4AC14" w14:textId="77777777" w:rsidR="002D4E10" w:rsidRPr="00D95E51" w:rsidRDefault="002D4E10" w:rsidP="00990C60">
            <w:pPr>
              <w:ind w:right="-22" w:hanging="110"/>
              <w:jc w:val="center"/>
              <w:rPr>
                <w:sz w:val="22"/>
                <w:szCs w:val="22"/>
              </w:rPr>
            </w:pPr>
            <w:r w:rsidRPr="00D95E51">
              <w:rPr>
                <w:sz w:val="22"/>
                <w:szCs w:val="22"/>
              </w:rPr>
              <w:t xml:space="preserve">0,42 </w:t>
            </w:r>
            <w:r w:rsidRPr="00D95E51">
              <w:rPr>
                <w:sz w:val="22"/>
                <w:szCs w:val="22"/>
              </w:rPr>
              <w:sym w:font="Symbol" w:char="F0B1"/>
            </w:r>
            <w:r w:rsidRPr="00D95E51">
              <w:rPr>
                <w:sz w:val="22"/>
                <w:szCs w:val="22"/>
              </w:rPr>
              <w:t xml:space="preserve"> 0,37</w:t>
            </w:r>
          </w:p>
        </w:tc>
        <w:tc>
          <w:tcPr>
            <w:tcW w:w="1283" w:type="dxa"/>
            <w:shd w:val="clear" w:color="auto" w:fill="auto"/>
          </w:tcPr>
          <w:p w14:paraId="50AA2FCA" w14:textId="77777777" w:rsidR="002D4E10" w:rsidRPr="00D95E51" w:rsidRDefault="002D4E10" w:rsidP="00990C60">
            <w:pPr>
              <w:ind w:right="-22" w:hanging="110"/>
              <w:jc w:val="center"/>
              <w:rPr>
                <w:sz w:val="22"/>
                <w:szCs w:val="22"/>
              </w:rPr>
            </w:pPr>
            <w:r w:rsidRPr="00D95E51">
              <w:rPr>
                <w:sz w:val="22"/>
                <w:szCs w:val="22"/>
              </w:rPr>
              <w:t xml:space="preserve"> 0,36 </w:t>
            </w:r>
            <w:r w:rsidRPr="00D95E51">
              <w:rPr>
                <w:sz w:val="22"/>
                <w:szCs w:val="22"/>
              </w:rPr>
              <w:sym w:font="Symbol" w:char="F0B1"/>
            </w:r>
            <w:r w:rsidRPr="00D95E51">
              <w:rPr>
                <w:sz w:val="22"/>
                <w:szCs w:val="22"/>
              </w:rPr>
              <w:t xml:space="preserve"> 0,30</w:t>
            </w:r>
          </w:p>
        </w:tc>
        <w:tc>
          <w:tcPr>
            <w:tcW w:w="701" w:type="dxa"/>
            <w:shd w:val="clear" w:color="auto" w:fill="auto"/>
          </w:tcPr>
          <w:p w14:paraId="2BF83EE3" w14:textId="77777777" w:rsidR="002D4E10" w:rsidRPr="00D95E51" w:rsidRDefault="002D4E10" w:rsidP="00990C60">
            <w:pPr>
              <w:ind w:right="-22" w:hanging="110"/>
              <w:jc w:val="center"/>
              <w:rPr>
                <w:sz w:val="22"/>
                <w:szCs w:val="22"/>
              </w:rPr>
            </w:pPr>
          </w:p>
        </w:tc>
      </w:tr>
      <w:tr w:rsidR="002D4E10" w:rsidRPr="00D95E51" w14:paraId="6838C9C4" w14:textId="77777777" w:rsidTr="007B4414">
        <w:trPr>
          <w:trHeight w:val="236"/>
        </w:trPr>
        <w:tc>
          <w:tcPr>
            <w:tcW w:w="1706" w:type="dxa"/>
            <w:shd w:val="clear" w:color="auto" w:fill="auto"/>
          </w:tcPr>
          <w:p w14:paraId="7ACAF826" w14:textId="77777777" w:rsidR="002D4E10" w:rsidRPr="00D95E51" w:rsidRDefault="002D4E10" w:rsidP="00990C60">
            <w:pPr>
              <w:ind w:right="-22"/>
              <w:jc w:val="center"/>
              <w:rPr>
                <w:b/>
                <w:bCs/>
                <w:sz w:val="22"/>
                <w:szCs w:val="22"/>
                <w:vertAlign w:val="superscript"/>
              </w:rPr>
            </w:pPr>
            <w:r w:rsidRPr="00D95E51">
              <w:rPr>
                <w:b/>
                <w:bCs/>
                <w:sz w:val="22"/>
                <w:szCs w:val="22"/>
              </w:rPr>
              <w:t>p</w:t>
            </w:r>
            <w:r w:rsidRPr="00D95E51">
              <w:rPr>
                <w:b/>
                <w:bCs/>
                <w:sz w:val="22"/>
                <w:szCs w:val="22"/>
                <w:vertAlign w:val="superscript"/>
              </w:rPr>
              <w:t>2</w:t>
            </w:r>
          </w:p>
        </w:tc>
        <w:tc>
          <w:tcPr>
            <w:tcW w:w="1283" w:type="dxa"/>
            <w:shd w:val="clear" w:color="auto" w:fill="auto"/>
          </w:tcPr>
          <w:p w14:paraId="579EB121" w14:textId="77777777" w:rsidR="002D4E10" w:rsidRPr="00D95E51" w:rsidRDefault="002D4E10" w:rsidP="00990C60">
            <w:pPr>
              <w:ind w:right="-22" w:hanging="110"/>
              <w:jc w:val="center"/>
              <w:rPr>
                <w:b/>
                <w:bCs/>
                <w:sz w:val="22"/>
                <w:szCs w:val="22"/>
              </w:rPr>
            </w:pPr>
            <w:r w:rsidRPr="00D95E51">
              <w:rPr>
                <w:b/>
                <w:bCs/>
                <w:sz w:val="22"/>
                <w:szCs w:val="22"/>
              </w:rPr>
              <w:t>0,001</w:t>
            </w:r>
          </w:p>
        </w:tc>
        <w:tc>
          <w:tcPr>
            <w:tcW w:w="1283" w:type="dxa"/>
            <w:shd w:val="clear" w:color="auto" w:fill="auto"/>
          </w:tcPr>
          <w:p w14:paraId="7DFE2B68" w14:textId="77777777" w:rsidR="002D4E10" w:rsidRPr="00D95E51" w:rsidRDefault="002D4E10" w:rsidP="00990C60">
            <w:pPr>
              <w:ind w:right="-22" w:hanging="110"/>
              <w:jc w:val="center"/>
              <w:rPr>
                <w:b/>
                <w:bCs/>
                <w:sz w:val="22"/>
                <w:szCs w:val="22"/>
              </w:rPr>
            </w:pPr>
            <w:r w:rsidRPr="00D95E51">
              <w:rPr>
                <w:b/>
                <w:bCs/>
                <w:sz w:val="22"/>
                <w:szCs w:val="22"/>
              </w:rPr>
              <w:t>0,001</w:t>
            </w:r>
          </w:p>
        </w:tc>
        <w:tc>
          <w:tcPr>
            <w:tcW w:w="1283" w:type="dxa"/>
            <w:shd w:val="clear" w:color="auto" w:fill="auto"/>
          </w:tcPr>
          <w:p w14:paraId="1AD42E9E" w14:textId="77777777" w:rsidR="002D4E10" w:rsidRPr="00D95E51" w:rsidRDefault="002D4E10" w:rsidP="00990C60">
            <w:pPr>
              <w:ind w:right="-22" w:hanging="110"/>
              <w:jc w:val="center"/>
              <w:rPr>
                <w:b/>
                <w:bCs/>
                <w:sz w:val="22"/>
                <w:szCs w:val="22"/>
              </w:rPr>
            </w:pPr>
            <w:r w:rsidRPr="00D95E51">
              <w:rPr>
                <w:b/>
                <w:bCs/>
                <w:sz w:val="22"/>
                <w:szCs w:val="22"/>
              </w:rPr>
              <w:t>0,001</w:t>
            </w:r>
          </w:p>
        </w:tc>
        <w:tc>
          <w:tcPr>
            <w:tcW w:w="701" w:type="dxa"/>
            <w:shd w:val="clear" w:color="auto" w:fill="auto"/>
          </w:tcPr>
          <w:p w14:paraId="590D245C" w14:textId="77777777" w:rsidR="002D4E10" w:rsidRPr="00D95E51" w:rsidRDefault="002D4E10" w:rsidP="00990C60">
            <w:pPr>
              <w:ind w:right="-22" w:hanging="110"/>
              <w:jc w:val="center"/>
              <w:rPr>
                <w:sz w:val="22"/>
                <w:szCs w:val="22"/>
              </w:rPr>
            </w:pPr>
          </w:p>
        </w:tc>
      </w:tr>
    </w:tbl>
    <w:bookmarkEnd w:id="14"/>
    <w:p w14:paraId="65A15711" w14:textId="77777777" w:rsidR="002D4E10" w:rsidRPr="00D95E51" w:rsidRDefault="002D4E10" w:rsidP="002D4E10">
      <w:pPr>
        <w:widowControl w:val="0"/>
        <w:autoSpaceDE w:val="0"/>
        <w:autoSpaceDN w:val="0"/>
        <w:ind w:right="49" w:firstLine="567"/>
        <w:jc w:val="both"/>
        <w:rPr>
          <w:i/>
          <w:iCs/>
          <w:sz w:val="22"/>
          <w:szCs w:val="22"/>
        </w:rPr>
      </w:pPr>
      <w:r w:rsidRPr="00D95E51">
        <w:rPr>
          <w:i/>
          <w:iCs/>
          <w:sz w:val="22"/>
          <w:szCs w:val="22"/>
        </w:rPr>
        <w:t>p</w:t>
      </w:r>
      <w:r w:rsidRPr="00D95E51">
        <w:rPr>
          <w:i/>
          <w:iCs/>
          <w:sz w:val="22"/>
          <w:szCs w:val="22"/>
          <w:vertAlign w:val="superscript"/>
        </w:rPr>
        <w:t>1</w:t>
      </w:r>
      <w:r w:rsidRPr="00D95E51">
        <w:rPr>
          <w:i/>
          <w:iCs/>
          <w:sz w:val="22"/>
          <w:szCs w:val="22"/>
        </w:rPr>
        <w:t>: so sánh 2 nhóm can thiệp và nhóm đối chứng cùng ở cùng thời điểm, sử dụng kiểm định ANOVA Test.</w:t>
      </w:r>
    </w:p>
    <w:p w14:paraId="79961278" w14:textId="77777777" w:rsidR="002D4E10" w:rsidRPr="00D95E51" w:rsidRDefault="002D4E10" w:rsidP="002D4E10">
      <w:pPr>
        <w:widowControl w:val="0"/>
        <w:autoSpaceDE w:val="0"/>
        <w:autoSpaceDN w:val="0"/>
        <w:ind w:right="49" w:firstLine="567"/>
        <w:jc w:val="both"/>
        <w:rPr>
          <w:i/>
          <w:iCs/>
          <w:sz w:val="22"/>
          <w:szCs w:val="22"/>
        </w:rPr>
      </w:pPr>
      <w:r w:rsidRPr="00D95E51">
        <w:rPr>
          <w:i/>
          <w:iCs/>
          <w:sz w:val="22"/>
          <w:szCs w:val="22"/>
        </w:rPr>
        <w:t>p</w:t>
      </w:r>
      <w:r w:rsidRPr="00D95E51">
        <w:rPr>
          <w:i/>
          <w:iCs/>
          <w:sz w:val="22"/>
          <w:szCs w:val="22"/>
          <w:vertAlign w:val="superscript"/>
        </w:rPr>
        <w:t>2</w:t>
      </w:r>
      <w:r w:rsidRPr="00D95E51">
        <w:rPr>
          <w:i/>
          <w:iCs/>
          <w:sz w:val="22"/>
          <w:szCs w:val="22"/>
        </w:rPr>
        <w:t>: so sánh cùng nhóm ở hai thời điểm trước và sau can thiệp, sử dụng paired t-test.</w:t>
      </w:r>
    </w:p>
    <w:p w14:paraId="0D4F89FF" w14:textId="6347D1AF" w:rsidR="002D4E10" w:rsidRPr="00D95E51" w:rsidRDefault="00F45184" w:rsidP="002D4E10">
      <w:pPr>
        <w:ind w:right="49" w:firstLine="567"/>
        <w:jc w:val="both"/>
        <w:rPr>
          <w:sz w:val="22"/>
          <w:szCs w:val="22"/>
        </w:rPr>
      </w:pPr>
      <w:r>
        <w:rPr>
          <w:sz w:val="22"/>
          <w:szCs w:val="22"/>
        </w:rPr>
        <w:t>Bảng 3.2</w:t>
      </w:r>
      <w:bookmarkStart w:id="15" w:name="_GoBack"/>
      <w:bookmarkEnd w:id="15"/>
      <w:r w:rsidR="002D4E10" w:rsidRPr="00D95E51">
        <w:rPr>
          <w:sz w:val="22"/>
          <w:szCs w:val="22"/>
        </w:rPr>
        <w:t xml:space="preserve"> trình bày giá trị WAZ trung bình của các nhóm ghiên cứu. Ở nhóm chứng, giá trị WAZ trung bình trước can thiệp là -2</w:t>
      </w:r>
      <w:proofErr w:type="gramStart"/>
      <w:r w:rsidR="002D4E10" w:rsidRPr="00D95E51">
        <w:rPr>
          <w:sz w:val="22"/>
          <w:szCs w:val="22"/>
        </w:rPr>
        <w:t>,13</w:t>
      </w:r>
      <w:proofErr w:type="gramEnd"/>
      <w:r w:rsidR="002D4E10" w:rsidRPr="00D95E51">
        <w:rPr>
          <w:sz w:val="22"/>
          <w:szCs w:val="22"/>
        </w:rPr>
        <w:t xml:space="preserve"> </w:t>
      </w:r>
      <w:r w:rsidR="002D4E10" w:rsidRPr="00D95E51">
        <w:rPr>
          <w:sz w:val="22"/>
          <w:szCs w:val="22"/>
        </w:rPr>
        <w:sym w:font="Symbol" w:char="F0B1"/>
      </w:r>
      <w:r w:rsidR="002D4E10" w:rsidRPr="00D95E51">
        <w:rPr>
          <w:sz w:val="22"/>
          <w:szCs w:val="22"/>
        </w:rPr>
        <w:t xml:space="preserve"> 0,69, sau can thiệp là -1,81 </w:t>
      </w:r>
      <w:r w:rsidR="002D4E10" w:rsidRPr="00D95E51">
        <w:rPr>
          <w:sz w:val="22"/>
          <w:szCs w:val="22"/>
        </w:rPr>
        <w:sym w:font="Symbol" w:char="F0B1"/>
      </w:r>
      <w:r w:rsidR="002D4E10" w:rsidRPr="00D95E51">
        <w:rPr>
          <w:sz w:val="22"/>
          <w:szCs w:val="22"/>
        </w:rPr>
        <w:t xml:space="preserve"> 0,68, thay đổi WAZ sau can thiệp so với trước can thiệp là 0,32 </w:t>
      </w:r>
      <w:r w:rsidR="002D4E10" w:rsidRPr="00D95E51">
        <w:rPr>
          <w:sz w:val="22"/>
          <w:szCs w:val="22"/>
        </w:rPr>
        <w:sym w:font="Symbol" w:char="F0B1"/>
      </w:r>
      <w:r w:rsidR="002D4E10" w:rsidRPr="00D95E51">
        <w:rPr>
          <w:sz w:val="22"/>
          <w:szCs w:val="22"/>
        </w:rPr>
        <w:t xml:space="preserve"> 0,33. Ở nhóm tăng cường kẽm, giá trị WAZ trung bình trước can thiệp là -2</w:t>
      </w:r>
      <w:proofErr w:type="gramStart"/>
      <w:r w:rsidR="002D4E10" w:rsidRPr="00D95E51">
        <w:rPr>
          <w:sz w:val="22"/>
          <w:szCs w:val="22"/>
        </w:rPr>
        <w:t>,04</w:t>
      </w:r>
      <w:proofErr w:type="gramEnd"/>
      <w:r w:rsidR="002D4E10" w:rsidRPr="00D95E51">
        <w:rPr>
          <w:sz w:val="22"/>
          <w:szCs w:val="22"/>
        </w:rPr>
        <w:t xml:space="preserve"> </w:t>
      </w:r>
      <w:r w:rsidR="002D4E10" w:rsidRPr="00D95E51">
        <w:rPr>
          <w:sz w:val="22"/>
          <w:szCs w:val="22"/>
        </w:rPr>
        <w:sym w:font="Symbol" w:char="F0B1"/>
      </w:r>
      <w:r w:rsidR="002D4E10" w:rsidRPr="00D95E51">
        <w:rPr>
          <w:sz w:val="22"/>
          <w:szCs w:val="22"/>
        </w:rPr>
        <w:t xml:space="preserve"> 0,62, sau can thiệp là -1,62 </w:t>
      </w:r>
      <w:r w:rsidR="002D4E10" w:rsidRPr="00D95E51">
        <w:rPr>
          <w:sz w:val="22"/>
          <w:szCs w:val="22"/>
        </w:rPr>
        <w:sym w:font="Symbol" w:char="F0B1"/>
      </w:r>
      <w:r w:rsidR="002D4E10" w:rsidRPr="00D95E51">
        <w:rPr>
          <w:sz w:val="22"/>
          <w:szCs w:val="22"/>
        </w:rPr>
        <w:t xml:space="preserve"> 0,67, thay đổi WAZ sau can thiệp so với trước can thiệp là 0,42 </w:t>
      </w:r>
      <w:r w:rsidR="002D4E10" w:rsidRPr="00D95E51">
        <w:rPr>
          <w:sz w:val="22"/>
          <w:szCs w:val="22"/>
        </w:rPr>
        <w:sym w:font="Symbol" w:char="F0B1"/>
      </w:r>
      <w:r w:rsidR="002D4E10" w:rsidRPr="00D95E51">
        <w:rPr>
          <w:sz w:val="22"/>
          <w:szCs w:val="22"/>
        </w:rPr>
        <w:t xml:space="preserve"> 0,37. Ở nhóm tăng cường sắt-kẽm, giá trị WAZ trung bình trước can thiệp là – 2</w:t>
      </w:r>
      <w:proofErr w:type="gramStart"/>
      <w:r w:rsidR="002D4E10" w:rsidRPr="00D95E51">
        <w:rPr>
          <w:sz w:val="22"/>
          <w:szCs w:val="22"/>
        </w:rPr>
        <w:t>,01</w:t>
      </w:r>
      <w:proofErr w:type="gramEnd"/>
      <w:r w:rsidR="002D4E10" w:rsidRPr="00D95E51">
        <w:rPr>
          <w:sz w:val="22"/>
          <w:szCs w:val="22"/>
        </w:rPr>
        <w:sym w:font="Symbol" w:char="F0B1"/>
      </w:r>
      <w:r w:rsidR="002D4E10" w:rsidRPr="00D95E51">
        <w:rPr>
          <w:sz w:val="22"/>
          <w:szCs w:val="22"/>
        </w:rPr>
        <w:t xml:space="preserve"> 0,58, sau can thiệp là - 1,65 </w:t>
      </w:r>
      <w:r w:rsidR="002D4E10" w:rsidRPr="00D95E51">
        <w:rPr>
          <w:sz w:val="22"/>
          <w:szCs w:val="22"/>
        </w:rPr>
        <w:sym w:font="Symbol" w:char="F0B1"/>
      </w:r>
      <w:r w:rsidR="002D4E10" w:rsidRPr="00D95E51">
        <w:rPr>
          <w:sz w:val="22"/>
          <w:szCs w:val="22"/>
        </w:rPr>
        <w:t xml:space="preserve"> 0,57, thay đổi WAZ sau can thiệp so với trước can thiệp là 0,36 </w:t>
      </w:r>
      <w:r w:rsidR="002D4E10" w:rsidRPr="00D95E51">
        <w:rPr>
          <w:sz w:val="22"/>
          <w:szCs w:val="22"/>
        </w:rPr>
        <w:sym w:font="Symbol" w:char="F0B1"/>
      </w:r>
      <w:r w:rsidR="002D4E10" w:rsidRPr="00D95E51">
        <w:rPr>
          <w:sz w:val="22"/>
          <w:szCs w:val="22"/>
        </w:rPr>
        <w:t xml:space="preserve"> 0,30.  Có sự khác biệt ý nghĩa thống kê giữa WAZ trước và sau can thiệp ở các nhóm (p&lt;0</w:t>
      </w:r>
      <w:proofErr w:type="gramStart"/>
      <w:r w:rsidR="002D4E10" w:rsidRPr="00D95E51">
        <w:rPr>
          <w:sz w:val="22"/>
          <w:szCs w:val="22"/>
        </w:rPr>
        <w:t>,05</w:t>
      </w:r>
      <w:proofErr w:type="gramEnd"/>
      <w:r w:rsidR="002D4E10" w:rsidRPr="00D95E51">
        <w:rPr>
          <w:sz w:val="22"/>
          <w:szCs w:val="22"/>
        </w:rPr>
        <w:t>).</w:t>
      </w:r>
    </w:p>
    <w:p w14:paraId="3F6DAD9D" w14:textId="0862D79B" w:rsidR="002D4E10" w:rsidRPr="00D95E51" w:rsidRDefault="002D4E10" w:rsidP="008D4648">
      <w:pPr>
        <w:pStyle w:val="Caption"/>
        <w:spacing w:before="0" w:after="0" w:line="312" w:lineRule="auto"/>
        <w:ind w:firstLine="567"/>
        <w:rPr>
          <w:b/>
          <w:bCs/>
          <w:sz w:val="22"/>
          <w:szCs w:val="22"/>
        </w:rPr>
      </w:pPr>
      <w:bookmarkStart w:id="16" w:name="_Toc137282933"/>
      <w:r w:rsidRPr="00D95E51">
        <w:rPr>
          <w:b/>
          <w:sz w:val="22"/>
          <w:szCs w:val="22"/>
        </w:rPr>
        <w:lastRenderedPageBreak/>
        <w:t xml:space="preserve">Bảng 3. </w:t>
      </w:r>
      <w:r w:rsidRPr="00D95E51">
        <w:rPr>
          <w:b/>
          <w:sz w:val="22"/>
          <w:szCs w:val="22"/>
        </w:rPr>
        <w:fldChar w:fldCharType="begin"/>
      </w:r>
      <w:r w:rsidRPr="00D95E51">
        <w:rPr>
          <w:b/>
          <w:sz w:val="22"/>
          <w:szCs w:val="22"/>
        </w:rPr>
        <w:instrText xml:space="preserve"> SEQ Bảng_3. \* ARABIC </w:instrText>
      </w:r>
      <w:r w:rsidRPr="00D95E51">
        <w:rPr>
          <w:b/>
          <w:sz w:val="22"/>
          <w:szCs w:val="22"/>
        </w:rPr>
        <w:fldChar w:fldCharType="separate"/>
      </w:r>
      <w:r w:rsidR="003C4637">
        <w:rPr>
          <w:b/>
          <w:noProof/>
          <w:sz w:val="22"/>
          <w:szCs w:val="22"/>
        </w:rPr>
        <w:t>3</w:t>
      </w:r>
      <w:r w:rsidRPr="00D95E51">
        <w:rPr>
          <w:b/>
          <w:sz w:val="22"/>
          <w:szCs w:val="22"/>
        </w:rPr>
        <w:fldChar w:fldCharType="end"/>
      </w:r>
      <w:r w:rsidRPr="00D95E51">
        <w:rPr>
          <w:b/>
          <w:bCs/>
          <w:iCs w:val="0"/>
          <w:sz w:val="22"/>
          <w:szCs w:val="22"/>
        </w:rPr>
        <w:t xml:space="preserve">. </w:t>
      </w:r>
      <w:r w:rsidRPr="00D95E51">
        <w:rPr>
          <w:rFonts w:eastAsia="Times New Roman"/>
          <w:b/>
          <w:bCs/>
          <w:sz w:val="22"/>
          <w:szCs w:val="22"/>
          <w:lang w:eastAsia="ja-JP"/>
        </w:rPr>
        <w:t xml:space="preserve">Kết quả </w:t>
      </w:r>
      <w:r w:rsidRPr="00D95E51">
        <w:rPr>
          <w:b/>
          <w:bCs/>
          <w:sz w:val="22"/>
          <w:szCs w:val="22"/>
        </w:rPr>
        <w:t xml:space="preserve">thay đổi chỉ số </w:t>
      </w:r>
      <w:r w:rsidRPr="00D95E51">
        <w:rPr>
          <w:rFonts w:eastAsia="Times New Roman"/>
          <w:b/>
          <w:bCs/>
          <w:sz w:val="22"/>
          <w:szCs w:val="22"/>
        </w:rPr>
        <w:t xml:space="preserve">Z-score cân nặng/ chiều cao </w:t>
      </w:r>
      <w:r w:rsidRPr="00D95E51">
        <w:rPr>
          <w:b/>
          <w:bCs/>
          <w:sz w:val="22"/>
          <w:szCs w:val="22"/>
        </w:rPr>
        <w:t>của đối tượng nghiên cứu sau 6 tháng can thiệp</w:t>
      </w:r>
      <w:bookmarkEnd w:id="16"/>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224"/>
        <w:gridCol w:w="1283"/>
        <w:gridCol w:w="1342"/>
        <w:gridCol w:w="730"/>
      </w:tblGrid>
      <w:tr w:rsidR="002D4E10" w:rsidRPr="00D95E51" w14:paraId="2FE6FCDE" w14:textId="77777777" w:rsidTr="007B4414">
        <w:tc>
          <w:tcPr>
            <w:tcW w:w="1680" w:type="dxa"/>
            <w:vMerge w:val="restart"/>
            <w:shd w:val="clear" w:color="auto" w:fill="auto"/>
          </w:tcPr>
          <w:p w14:paraId="6DAA3FCB" w14:textId="77777777" w:rsidR="002D4E10" w:rsidRPr="00D95E51" w:rsidRDefault="002D4E10" w:rsidP="00615EB7">
            <w:pPr>
              <w:ind w:right="49" w:hanging="118"/>
              <w:jc w:val="center"/>
              <w:rPr>
                <w:b/>
                <w:bCs/>
                <w:sz w:val="22"/>
                <w:szCs w:val="22"/>
              </w:rPr>
            </w:pPr>
          </w:p>
          <w:p w14:paraId="375E2DD5" w14:textId="77777777" w:rsidR="002D4E10" w:rsidRPr="00D95E51" w:rsidRDefault="002D4E10" w:rsidP="00615EB7">
            <w:pPr>
              <w:ind w:right="49" w:hanging="118"/>
              <w:jc w:val="center"/>
              <w:rPr>
                <w:b/>
                <w:bCs/>
                <w:sz w:val="22"/>
                <w:szCs w:val="22"/>
              </w:rPr>
            </w:pPr>
            <w:r w:rsidRPr="00D95E51">
              <w:rPr>
                <w:b/>
                <w:bCs/>
                <w:sz w:val="22"/>
                <w:szCs w:val="22"/>
              </w:rPr>
              <w:t>Chỉ số WHZ</w:t>
            </w:r>
          </w:p>
        </w:tc>
        <w:tc>
          <w:tcPr>
            <w:tcW w:w="4579" w:type="dxa"/>
            <w:gridSpan w:val="4"/>
            <w:shd w:val="clear" w:color="auto" w:fill="auto"/>
          </w:tcPr>
          <w:p w14:paraId="33110B30" w14:textId="77777777" w:rsidR="002D4E10" w:rsidRPr="00D95E51" w:rsidRDefault="002D4E10" w:rsidP="00615EB7">
            <w:pPr>
              <w:ind w:right="49" w:hanging="118"/>
              <w:jc w:val="center"/>
              <w:rPr>
                <w:b/>
                <w:bCs/>
                <w:sz w:val="22"/>
                <w:szCs w:val="22"/>
              </w:rPr>
            </w:pPr>
            <w:r w:rsidRPr="00D95E51">
              <w:rPr>
                <w:b/>
                <w:bCs/>
                <w:sz w:val="22"/>
                <w:szCs w:val="22"/>
              </w:rPr>
              <w:t>Nhóm nghiên cứu</w:t>
            </w:r>
          </w:p>
        </w:tc>
      </w:tr>
      <w:tr w:rsidR="002D4E10" w:rsidRPr="00D95E51" w14:paraId="5B63C76C" w14:textId="77777777" w:rsidTr="007B4414">
        <w:tc>
          <w:tcPr>
            <w:tcW w:w="1680" w:type="dxa"/>
            <w:vMerge/>
            <w:shd w:val="clear" w:color="auto" w:fill="auto"/>
          </w:tcPr>
          <w:p w14:paraId="4B7F8E9D" w14:textId="77777777" w:rsidR="002D4E10" w:rsidRPr="00D95E51" w:rsidRDefault="002D4E10" w:rsidP="00615EB7">
            <w:pPr>
              <w:ind w:right="49" w:hanging="118"/>
              <w:jc w:val="center"/>
              <w:rPr>
                <w:b/>
                <w:bCs/>
                <w:sz w:val="22"/>
                <w:szCs w:val="22"/>
              </w:rPr>
            </w:pPr>
          </w:p>
        </w:tc>
        <w:tc>
          <w:tcPr>
            <w:tcW w:w="1224" w:type="dxa"/>
            <w:shd w:val="clear" w:color="auto" w:fill="auto"/>
          </w:tcPr>
          <w:p w14:paraId="778EFF30" w14:textId="77777777" w:rsidR="002D4E10" w:rsidRPr="00D95E51" w:rsidRDefault="002D4E10" w:rsidP="00615EB7">
            <w:pPr>
              <w:ind w:right="49" w:hanging="118"/>
              <w:jc w:val="center"/>
              <w:rPr>
                <w:b/>
                <w:bCs/>
                <w:sz w:val="22"/>
                <w:szCs w:val="22"/>
              </w:rPr>
            </w:pPr>
            <w:r w:rsidRPr="00D95E51">
              <w:rPr>
                <w:b/>
                <w:bCs/>
                <w:sz w:val="22"/>
                <w:szCs w:val="22"/>
              </w:rPr>
              <w:t>Nhóm chứng (n=99)</w:t>
            </w:r>
          </w:p>
        </w:tc>
        <w:tc>
          <w:tcPr>
            <w:tcW w:w="1283" w:type="dxa"/>
            <w:shd w:val="clear" w:color="auto" w:fill="auto"/>
          </w:tcPr>
          <w:p w14:paraId="43E0D2B1" w14:textId="77777777" w:rsidR="002D4E10" w:rsidRPr="00D95E51" w:rsidRDefault="002D4E10" w:rsidP="00B56CC9">
            <w:pPr>
              <w:ind w:right="49" w:hanging="118"/>
              <w:jc w:val="center"/>
              <w:rPr>
                <w:b/>
                <w:bCs/>
                <w:sz w:val="22"/>
                <w:szCs w:val="22"/>
              </w:rPr>
            </w:pPr>
            <w:r w:rsidRPr="00D95E51">
              <w:rPr>
                <w:b/>
                <w:bCs/>
                <w:sz w:val="22"/>
                <w:szCs w:val="22"/>
              </w:rPr>
              <w:t>Nhóm</w:t>
            </w:r>
            <w:r w:rsidR="00B56CC9" w:rsidRPr="00D95E51">
              <w:rPr>
                <w:b/>
                <w:bCs/>
                <w:sz w:val="22"/>
                <w:szCs w:val="22"/>
              </w:rPr>
              <w:t xml:space="preserve"> BS</w:t>
            </w:r>
            <w:r w:rsidRPr="00D95E51">
              <w:rPr>
                <w:b/>
                <w:bCs/>
                <w:sz w:val="22"/>
                <w:szCs w:val="22"/>
              </w:rPr>
              <w:t xml:space="preserve"> kẽm (n=94)</w:t>
            </w:r>
          </w:p>
        </w:tc>
        <w:tc>
          <w:tcPr>
            <w:tcW w:w="1342" w:type="dxa"/>
            <w:shd w:val="clear" w:color="auto" w:fill="auto"/>
          </w:tcPr>
          <w:p w14:paraId="22FFACB1" w14:textId="77777777" w:rsidR="002D4E10" w:rsidRPr="00D95E51" w:rsidRDefault="002D4E10" w:rsidP="00B56CC9">
            <w:pPr>
              <w:ind w:right="49" w:hanging="118"/>
              <w:rPr>
                <w:b/>
                <w:bCs/>
                <w:sz w:val="22"/>
                <w:szCs w:val="22"/>
              </w:rPr>
            </w:pPr>
            <w:r w:rsidRPr="00D95E51">
              <w:rPr>
                <w:b/>
                <w:bCs/>
                <w:sz w:val="22"/>
                <w:szCs w:val="22"/>
              </w:rPr>
              <w:t>Nhóm</w:t>
            </w:r>
            <w:r w:rsidR="00B56CC9" w:rsidRPr="00D95E51">
              <w:rPr>
                <w:b/>
                <w:bCs/>
                <w:sz w:val="22"/>
                <w:szCs w:val="22"/>
              </w:rPr>
              <w:t xml:space="preserve"> BS</w:t>
            </w:r>
            <w:r w:rsidRPr="00D95E51">
              <w:rPr>
                <w:b/>
                <w:bCs/>
                <w:sz w:val="22"/>
                <w:szCs w:val="22"/>
              </w:rPr>
              <w:t xml:space="preserve"> sắt-kẽm (n=99)</w:t>
            </w:r>
          </w:p>
        </w:tc>
        <w:tc>
          <w:tcPr>
            <w:tcW w:w="730" w:type="dxa"/>
            <w:shd w:val="clear" w:color="auto" w:fill="auto"/>
          </w:tcPr>
          <w:p w14:paraId="4590B45A" w14:textId="77777777" w:rsidR="002D4E10" w:rsidRPr="00D95E51" w:rsidRDefault="002D4E10" w:rsidP="00615EB7">
            <w:pPr>
              <w:ind w:right="49" w:hanging="118"/>
              <w:jc w:val="center"/>
              <w:rPr>
                <w:b/>
                <w:bCs/>
                <w:sz w:val="22"/>
                <w:szCs w:val="22"/>
                <w:vertAlign w:val="superscript"/>
              </w:rPr>
            </w:pPr>
            <w:r w:rsidRPr="00D95E51">
              <w:rPr>
                <w:b/>
                <w:bCs/>
                <w:sz w:val="22"/>
                <w:szCs w:val="22"/>
              </w:rPr>
              <w:t>p</w:t>
            </w:r>
            <w:r w:rsidRPr="00D95E51">
              <w:rPr>
                <w:b/>
                <w:bCs/>
                <w:sz w:val="22"/>
                <w:szCs w:val="22"/>
                <w:vertAlign w:val="superscript"/>
              </w:rPr>
              <w:t>1</w:t>
            </w:r>
          </w:p>
        </w:tc>
      </w:tr>
      <w:tr w:rsidR="002D4E10" w:rsidRPr="00D95E51" w14:paraId="67408A0F" w14:textId="77777777" w:rsidTr="007B4414">
        <w:tc>
          <w:tcPr>
            <w:tcW w:w="1680" w:type="dxa"/>
            <w:shd w:val="clear" w:color="auto" w:fill="auto"/>
          </w:tcPr>
          <w:p w14:paraId="1DE65533" w14:textId="77777777" w:rsidR="002D4E10" w:rsidRPr="00FD316E" w:rsidRDefault="002D4E10" w:rsidP="007B4414">
            <w:pPr>
              <w:ind w:right="49" w:hanging="118"/>
              <w:rPr>
                <w:bCs/>
                <w:sz w:val="22"/>
                <w:szCs w:val="22"/>
              </w:rPr>
            </w:pPr>
            <w:r w:rsidRPr="00FD316E">
              <w:rPr>
                <w:bCs/>
                <w:sz w:val="22"/>
                <w:szCs w:val="22"/>
              </w:rPr>
              <w:t xml:space="preserve">Trước can thiệp </w:t>
            </w:r>
          </w:p>
        </w:tc>
        <w:tc>
          <w:tcPr>
            <w:tcW w:w="1224" w:type="dxa"/>
            <w:shd w:val="clear" w:color="auto" w:fill="auto"/>
          </w:tcPr>
          <w:p w14:paraId="285F4CA3" w14:textId="77777777" w:rsidR="002D4E10" w:rsidRPr="00D95E51" w:rsidRDefault="002D4E10" w:rsidP="00615EB7">
            <w:pPr>
              <w:ind w:right="49" w:hanging="118"/>
              <w:jc w:val="center"/>
              <w:rPr>
                <w:sz w:val="22"/>
                <w:szCs w:val="22"/>
              </w:rPr>
            </w:pPr>
            <w:r w:rsidRPr="00D95E51">
              <w:rPr>
                <w:sz w:val="22"/>
                <w:szCs w:val="22"/>
              </w:rPr>
              <w:t xml:space="preserve">-0,97 </w:t>
            </w:r>
            <w:r w:rsidRPr="00D95E51">
              <w:rPr>
                <w:sz w:val="22"/>
                <w:szCs w:val="22"/>
              </w:rPr>
              <w:sym w:font="Symbol" w:char="F0B1"/>
            </w:r>
            <w:r w:rsidRPr="00D95E51">
              <w:rPr>
                <w:sz w:val="22"/>
                <w:szCs w:val="22"/>
              </w:rPr>
              <w:t xml:space="preserve"> 0,87</w:t>
            </w:r>
          </w:p>
        </w:tc>
        <w:tc>
          <w:tcPr>
            <w:tcW w:w="1283" w:type="dxa"/>
            <w:shd w:val="clear" w:color="auto" w:fill="auto"/>
          </w:tcPr>
          <w:p w14:paraId="6B0BCB26" w14:textId="77777777" w:rsidR="002D4E10" w:rsidRPr="00D95E51" w:rsidRDefault="002D4E10" w:rsidP="00615EB7">
            <w:pPr>
              <w:ind w:right="49" w:hanging="118"/>
              <w:jc w:val="center"/>
              <w:rPr>
                <w:sz w:val="22"/>
                <w:szCs w:val="22"/>
              </w:rPr>
            </w:pPr>
            <w:r w:rsidRPr="00D95E51">
              <w:rPr>
                <w:sz w:val="22"/>
                <w:szCs w:val="22"/>
              </w:rPr>
              <w:t xml:space="preserve">-0,90 </w:t>
            </w:r>
            <w:r w:rsidRPr="00D95E51">
              <w:rPr>
                <w:sz w:val="22"/>
                <w:szCs w:val="22"/>
              </w:rPr>
              <w:sym w:font="Symbol" w:char="F0B1"/>
            </w:r>
            <w:r w:rsidRPr="00D95E51">
              <w:rPr>
                <w:sz w:val="22"/>
                <w:szCs w:val="22"/>
              </w:rPr>
              <w:t xml:space="preserve"> 0,81</w:t>
            </w:r>
          </w:p>
        </w:tc>
        <w:tc>
          <w:tcPr>
            <w:tcW w:w="1342" w:type="dxa"/>
            <w:shd w:val="clear" w:color="auto" w:fill="auto"/>
          </w:tcPr>
          <w:p w14:paraId="3E7D6B03" w14:textId="77777777" w:rsidR="002D4E10" w:rsidRPr="00D95E51" w:rsidRDefault="002D4E10" w:rsidP="00615EB7">
            <w:pPr>
              <w:ind w:right="49" w:hanging="118"/>
              <w:jc w:val="center"/>
              <w:rPr>
                <w:sz w:val="22"/>
                <w:szCs w:val="22"/>
              </w:rPr>
            </w:pPr>
            <w:r w:rsidRPr="00D95E51">
              <w:rPr>
                <w:sz w:val="22"/>
                <w:szCs w:val="22"/>
              </w:rPr>
              <w:t xml:space="preserve">-0,85 </w:t>
            </w:r>
            <w:r w:rsidRPr="00D95E51">
              <w:rPr>
                <w:sz w:val="22"/>
                <w:szCs w:val="22"/>
              </w:rPr>
              <w:sym w:font="Symbol" w:char="F0B1"/>
            </w:r>
            <w:r w:rsidRPr="00D95E51">
              <w:rPr>
                <w:sz w:val="22"/>
                <w:szCs w:val="22"/>
              </w:rPr>
              <w:t xml:space="preserve"> 0,76</w:t>
            </w:r>
          </w:p>
        </w:tc>
        <w:tc>
          <w:tcPr>
            <w:tcW w:w="730" w:type="dxa"/>
            <w:shd w:val="clear" w:color="auto" w:fill="auto"/>
          </w:tcPr>
          <w:p w14:paraId="6C7F35D1" w14:textId="77777777" w:rsidR="002D4E10" w:rsidRPr="00D95E51" w:rsidRDefault="002D4E10" w:rsidP="00615EB7">
            <w:pPr>
              <w:ind w:right="49" w:hanging="118"/>
              <w:jc w:val="center"/>
              <w:rPr>
                <w:sz w:val="22"/>
                <w:szCs w:val="22"/>
              </w:rPr>
            </w:pPr>
            <w:r w:rsidRPr="00D95E51">
              <w:rPr>
                <w:sz w:val="22"/>
                <w:szCs w:val="22"/>
              </w:rPr>
              <w:t>0,553</w:t>
            </w:r>
          </w:p>
        </w:tc>
      </w:tr>
      <w:tr w:rsidR="002D4E10" w:rsidRPr="00D95E51" w14:paraId="58CEE997" w14:textId="77777777" w:rsidTr="007B4414">
        <w:tc>
          <w:tcPr>
            <w:tcW w:w="1680" w:type="dxa"/>
            <w:shd w:val="clear" w:color="auto" w:fill="auto"/>
          </w:tcPr>
          <w:p w14:paraId="31FD5A76" w14:textId="77777777" w:rsidR="002D4E10" w:rsidRPr="00FD316E" w:rsidRDefault="002D4E10" w:rsidP="00615EB7">
            <w:pPr>
              <w:ind w:right="49" w:hanging="118"/>
              <w:jc w:val="center"/>
              <w:rPr>
                <w:bCs/>
                <w:sz w:val="22"/>
                <w:szCs w:val="22"/>
              </w:rPr>
            </w:pPr>
            <w:r w:rsidRPr="00FD316E">
              <w:rPr>
                <w:bCs/>
                <w:sz w:val="22"/>
                <w:szCs w:val="22"/>
              </w:rPr>
              <w:t xml:space="preserve">Sau can thiệp </w:t>
            </w:r>
          </w:p>
        </w:tc>
        <w:tc>
          <w:tcPr>
            <w:tcW w:w="1224" w:type="dxa"/>
            <w:shd w:val="clear" w:color="auto" w:fill="auto"/>
          </w:tcPr>
          <w:p w14:paraId="5F8421C1" w14:textId="77777777" w:rsidR="002D4E10" w:rsidRPr="00D95E51" w:rsidRDefault="002D4E10" w:rsidP="00615EB7">
            <w:pPr>
              <w:ind w:right="49" w:hanging="118"/>
              <w:jc w:val="center"/>
              <w:rPr>
                <w:sz w:val="22"/>
                <w:szCs w:val="22"/>
              </w:rPr>
            </w:pPr>
            <w:r w:rsidRPr="00D95E51">
              <w:rPr>
                <w:sz w:val="22"/>
                <w:szCs w:val="22"/>
              </w:rPr>
              <w:t xml:space="preserve">-0,47 </w:t>
            </w:r>
            <w:r w:rsidRPr="00D95E51">
              <w:rPr>
                <w:sz w:val="22"/>
                <w:szCs w:val="22"/>
              </w:rPr>
              <w:sym w:font="Symbol" w:char="F0B1"/>
            </w:r>
            <w:r w:rsidRPr="00D95E51">
              <w:rPr>
                <w:sz w:val="22"/>
                <w:szCs w:val="22"/>
              </w:rPr>
              <w:t xml:space="preserve"> 0,91</w:t>
            </w:r>
          </w:p>
        </w:tc>
        <w:tc>
          <w:tcPr>
            <w:tcW w:w="1283" w:type="dxa"/>
            <w:shd w:val="clear" w:color="auto" w:fill="auto"/>
          </w:tcPr>
          <w:p w14:paraId="6B0FCE7D" w14:textId="77777777" w:rsidR="002D4E10" w:rsidRPr="00D95E51" w:rsidRDefault="002D4E10" w:rsidP="00615EB7">
            <w:pPr>
              <w:ind w:right="49" w:hanging="118"/>
              <w:jc w:val="center"/>
              <w:rPr>
                <w:sz w:val="22"/>
                <w:szCs w:val="22"/>
              </w:rPr>
            </w:pPr>
            <w:bookmarkStart w:id="17" w:name="_Hlk105836565"/>
            <w:r w:rsidRPr="00D95E51">
              <w:rPr>
                <w:sz w:val="22"/>
                <w:szCs w:val="22"/>
              </w:rPr>
              <w:t xml:space="preserve">-0,29 </w:t>
            </w:r>
            <w:r w:rsidRPr="00D95E51">
              <w:rPr>
                <w:sz w:val="22"/>
                <w:szCs w:val="22"/>
              </w:rPr>
              <w:sym w:font="Symbol" w:char="F0B1"/>
            </w:r>
            <w:r w:rsidRPr="00D95E51">
              <w:rPr>
                <w:sz w:val="22"/>
                <w:szCs w:val="22"/>
              </w:rPr>
              <w:t xml:space="preserve"> 0,85</w:t>
            </w:r>
            <w:bookmarkEnd w:id="17"/>
          </w:p>
        </w:tc>
        <w:tc>
          <w:tcPr>
            <w:tcW w:w="1342" w:type="dxa"/>
            <w:shd w:val="clear" w:color="auto" w:fill="auto"/>
          </w:tcPr>
          <w:p w14:paraId="58718865" w14:textId="77777777" w:rsidR="002D4E10" w:rsidRPr="00D95E51" w:rsidRDefault="002D4E10" w:rsidP="00615EB7">
            <w:pPr>
              <w:ind w:right="49" w:hanging="118"/>
              <w:jc w:val="center"/>
              <w:rPr>
                <w:sz w:val="22"/>
                <w:szCs w:val="22"/>
              </w:rPr>
            </w:pPr>
            <w:r w:rsidRPr="00D95E51">
              <w:rPr>
                <w:sz w:val="22"/>
                <w:szCs w:val="22"/>
              </w:rPr>
              <w:t xml:space="preserve">-0,29 </w:t>
            </w:r>
            <w:r w:rsidRPr="00D95E51">
              <w:rPr>
                <w:sz w:val="22"/>
                <w:szCs w:val="22"/>
              </w:rPr>
              <w:sym w:font="Symbol" w:char="F0B1"/>
            </w:r>
            <w:r w:rsidRPr="00D95E51">
              <w:rPr>
                <w:sz w:val="22"/>
                <w:szCs w:val="22"/>
              </w:rPr>
              <w:t xml:space="preserve"> 0,74</w:t>
            </w:r>
          </w:p>
        </w:tc>
        <w:tc>
          <w:tcPr>
            <w:tcW w:w="730" w:type="dxa"/>
            <w:shd w:val="clear" w:color="auto" w:fill="auto"/>
          </w:tcPr>
          <w:p w14:paraId="168A759E" w14:textId="77777777" w:rsidR="002D4E10" w:rsidRPr="00D95E51" w:rsidRDefault="002D4E10" w:rsidP="00615EB7">
            <w:pPr>
              <w:ind w:right="49" w:hanging="118"/>
              <w:jc w:val="center"/>
              <w:rPr>
                <w:sz w:val="22"/>
                <w:szCs w:val="22"/>
              </w:rPr>
            </w:pPr>
            <w:r w:rsidRPr="00D95E51">
              <w:rPr>
                <w:sz w:val="22"/>
                <w:szCs w:val="22"/>
              </w:rPr>
              <w:t>0,201</w:t>
            </w:r>
          </w:p>
        </w:tc>
      </w:tr>
      <w:tr w:rsidR="002D4E10" w:rsidRPr="00D95E51" w14:paraId="4E466707" w14:textId="77777777" w:rsidTr="007B4414">
        <w:tc>
          <w:tcPr>
            <w:tcW w:w="1680" w:type="dxa"/>
            <w:shd w:val="clear" w:color="auto" w:fill="auto"/>
          </w:tcPr>
          <w:p w14:paraId="14E432BB" w14:textId="77777777" w:rsidR="002D4E10" w:rsidRPr="00FD316E" w:rsidRDefault="002D4E10" w:rsidP="00615EB7">
            <w:pPr>
              <w:ind w:right="49" w:hanging="118"/>
              <w:jc w:val="center"/>
              <w:rPr>
                <w:bCs/>
                <w:sz w:val="22"/>
                <w:szCs w:val="22"/>
              </w:rPr>
            </w:pPr>
            <w:r w:rsidRPr="00FD316E">
              <w:rPr>
                <w:bCs/>
                <w:sz w:val="22"/>
                <w:szCs w:val="22"/>
              </w:rPr>
              <w:t>Thay đổi</w:t>
            </w:r>
          </w:p>
        </w:tc>
        <w:tc>
          <w:tcPr>
            <w:tcW w:w="1224" w:type="dxa"/>
            <w:shd w:val="clear" w:color="auto" w:fill="auto"/>
          </w:tcPr>
          <w:p w14:paraId="117AE07E" w14:textId="77777777" w:rsidR="002D4E10" w:rsidRPr="00D95E51" w:rsidRDefault="002D4E10" w:rsidP="00615EB7">
            <w:pPr>
              <w:ind w:right="49" w:hanging="118"/>
              <w:jc w:val="center"/>
              <w:rPr>
                <w:sz w:val="22"/>
                <w:szCs w:val="22"/>
              </w:rPr>
            </w:pPr>
            <w:r w:rsidRPr="00D95E51">
              <w:rPr>
                <w:sz w:val="22"/>
                <w:szCs w:val="22"/>
              </w:rPr>
              <w:t xml:space="preserve"> 0,50 </w:t>
            </w:r>
            <w:r w:rsidRPr="00D95E51">
              <w:rPr>
                <w:sz w:val="22"/>
                <w:szCs w:val="22"/>
              </w:rPr>
              <w:sym w:font="Symbol" w:char="F0B1"/>
            </w:r>
            <w:r w:rsidRPr="00D95E51">
              <w:rPr>
                <w:sz w:val="22"/>
                <w:szCs w:val="22"/>
              </w:rPr>
              <w:t xml:space="preserve"> 0,55</w:t>
            </w:r>
          </w:p>
        </w:tc>
        <w:tc>
          <w:tcPr>
            <w:tcW w:w="1283" w:type="dxa"/>
            <w:shd w:val="clear" w:color="auto" w:fill="auto"/>
          </w:tcPr>
          <w:p w14:paraId="3202E9DC" w14:textId="77777777" w:rsidR="002D4E10" w:rsidRPr="00D95E51" w:rsidRDefault="002D4E10" w:rsidP="00615EB7">
            <w:pPr>
              <w:ind w:right="49" w:hanging="118"/>
              <w:jc w:val="center"/>
              <w:rPr>
                <w:sz w:val="22"/>
                <w:szCs w:val="22"/>
              </w:rPr>
            </w:pPr>
            <w:r w:rsidRPr="00D95E51">
              <w:rPr>
                <w:sz w:val="22"/>
                <w:szCs w:val="22"/>
              </w:rPr>
              <w:t xml:space="preserve"> 0,61 </w:t>
            </w:r>
            <w:r w:rsidRPr="00D95E51">
              <w:rPr>
                <w:sz w:val="22"/>
                <w:szCs w:val="22"/>
              </w:rPr>
              <w:sym w:font="Symbol" w:char="F0B1"/>
            </w:r>
            <w:r w:rsidRPr="00D95E51">
              <w:rPr>
                <w:sz w:val="22"/>
                <w:szCs w:val="22"/>
              </w:rPr>
              <w:t xml:space="preserve"> 0,54</w:t>
            </w:r>
          </w:p>
        </w:tc>
        <w:tc>
          <w:tcPr>
            <w:tcW w:w="1342" w:type="dxa"/>
            <w:shd w:val="clear" w:color="auto" w:fill="auto"/>
          </w:tcPr>
          <w:p w14:paraId="34D27D95" w14:textId="77777777" w:rsidR="002D4E10" w:rsidRPr="00D95E51" w:rsidRDefault="002D4E10" w:rsidP="00615EB7">
            <w:pPr>
              <w:ind w:right="49" w:hanging="118"/>
              <w:jc w:val="center"/>
              <w:rPr>
                <w:sz w:val="22"/>
                <w:szCs w:val="22"/>
              </w:rPr>
            </w:pPr>
            <w:r w:rsidRPr="00D95E51">
              <w:rPr>
                <w:sz w:val="22"/>
                <w:szCs w:val="22"/>
              </w:rPr>
              <w:t xml:space="preserve"> 0,56 </w:t>
            </w:r>
            <w:r w:rsidRPr="00D95E51">
              <w:rPr>
                <w:sz w:val="22"/>
                <w:szCs w:val="22"/>
              </w:rPr>
              <w:sym w:font="Symbol" w:char="F0B1"/>
            </w:r>
            <w:r w:rsidRPr="00D95E51">
              <w:rPr>
                <w:sz w:val="22"/>
                <w:szCs w:val="22"/>
              </w:rPr>
              <w:t xml:space="preserve"> 0,48</w:t>
            </w:r>
          </w:p>
        </w:tc>
        <w:tc>
          <w:tcPr>
            <w:tcW w:w="730" w:type="dxa"/>
            <w:shd w:val="clear" w:color="auto" w:fill="auto"/>
          </w:tcPr>
          <w:p w14:paraId="0A287CBF" w14:textId="77777777" w:rsidR="002D4E10" w:rsidRPr="00D95E51" w:rsidRDefault="002D4E10" w:rsidP="00615EB7">
            <w:pPr>
              <w:ind w:right="49" w:hanging="118"/>
              <w:jc w:val="center"/>
              <w:rPr>
                <w:sz w:val="22"/>
                <w:szCs w:val="22"/>
              </w:rPr>
            </w:pPr>
          </w:p>
        </w:tc>
      </w:tr>
      <w:tr w:rsidR="002D4E10" w:rsidRPr="00D95E51" w14:paraId="51054D11" w14:textId="77777777" w:rsidTr="007B4414">
        <w:tc>
          <w:tcPr>
            <w:tcW w:w="1680" w:type="dxa"/>
            <w:shd w:val="clear" w:color="auto" w:fill="auto"/>
          </w:tcPr>
          <w:p w14:paraId="7DEB67DB" w14:textId="77777777" w:rsidR="002D4E10" w:rsidRPr="00FD316E" w:rsidRDefault="002D4E10" w:rsidP="00615EB7">
            <w:pPr>
              <w:ind w:right="49" w:hanging="118"/>
              <w:jc w:val="center"/>
              <w:rPr>
                <w:bCs/>
                <w:sz w:val="22"/>
                <w:szCs w:val="22"/>
                <w:vertAlign w:val="superscript"/>
              </w:rPr>
            </w:pPr>
            <w:r w:rsidRPr="00FD316E">
              <w:rPr>
                <w:bCs/>
                <w:sz w:val="22"/>
                <w:szCs w:val="22"/>
              </w:rPr>
              <w:t>p</w:t>
            </w:r>
            <w:r w:rsidRPr="00FD316E">
              <w:rPr>
                <w:bCs/>
                <w:sz w:val="22"/>
                <w:szCs w:val="22"/>
                <w:vertAlign w:val="superscript"/>
              </w:rPr>
              <w:t>2</w:t>
            </w:r>
          </w:p>
        </w:tc>
        <w:tc>
          <w:tcPr>
            <w:tcW w:w="1224" w:type="dxa"/>
            <w:shd w:val="clear" w:color="auto" w:fill="auto"/>
          </w:tcPr>
          <w:p w14:paraId="4AFC477A" w14:textId="77777777" w:rsidR="002D4E10" w:rsidRPr="00D95E51" w:rsidRDefault="002D4E10" w:rsidP="00615EB7">
            <w:pPr>
              <w:ind w:right="49" w:hanging="118"/>
              <w:jc w:val="center"/>
              <w:rPr>
                <w:b/>
                <w:bCs/>
                <w:sz w:val="22"/>
                <w:szCs w:val="22"/>
              </w:rPr>
            </w:pPr>
            <w:r w:rsidRPr="00D95E51">
              <w:rPr>
                <w:b/>
                <w:bCs/>
                <w:sz w:val="22"/>
                <w:szCs w:val="22"/>
              </w:rPr>
              <w:t>0,001</w:t>
            </w:r>
          </w:p>
        </w:tc>
        <w:tc>
          <w:tcPr>
            <w:tcW w:w="1283" w:type="dxa"/>
            <w:shd w:val="clear" w:color="auto" w:fill="auto"/>
          </w:tcPr>
          <w:p w14:paraId="4B4EE42B" w14:textId="77777777" w:rsidR="002D4E10" w:rsidRPr="00D95E51" w:rsidRDefault="002D4E10" w:rsidP="00615EB7">
            <w:pPr>
              <w:ind w:right="49" w:hanging="118"/>
              <w:jc w:val="center"/>
              <w:rPr>
                <w:b/>
                <w:bCs/>
                <w:sz w:val="22"/>
                <w:szCs w:val="22"/>
              </w:rPr>
            </w:pPr>
            <w:r w:rsidRPr="00D95E51">
              <w:rPr>
                <w:b/>
                <w:bCs/>
                <w:sz w:val="22"/>
                <w:szCs w:val="22"/>
              </w:rPr>
              <w:t>0,001</w:t>
            </w:r>
          </w:p>
        </w:tc>
        <w:tc>
          <w:tcPr>
            <w:tcW w:w="1342" w:type="dxa"/>
            <w:shd w:val="clear" w:color="auto" w:fill="auto"/>
          </w:tcPr>
          <w:p w14:paraId="2C941F16" w14:textId="77777777" w:rsidR="002D4E10" w:rsidRPr="00D95E51" w:rsidRDefault="002D4E10" w:rsidP="00615EB7">
            <w:pPr>
              <w:ind w:right="49" w:hanging="118"/>
              <w:jc w:val="center"/>
              <w:rPr>
                <w:b/>
                <w:bCs/>
                <w:sz w:val="22"/>
                <w:szCs w:val="22"/>
              </w:rPr>
            </w:pPr>
            <w:r w:rsidRPr="00D95E51">
              <w:rPr>
                <w:b/>
                <w:bCs/>
                <w:sz w:val="22"/>
                <w:szCs w:val="22"/>
              </w:rPr>
              <w:t>0,001</w:t>
            </w:r>
          </w:p>
        </w:tc>
        <w:tc>
          <w:tcPr>
            <w:tcW w:w="730" w:type="dxa"/>
            <w:shd w:val="clear" w:color="auto" w:fill="auto"/>
          </w:tcPr>
          <w:p w14:paraId="4979642F" w14:textId="77777777" w:rsidR="002D4E10" w:rsidRPr="00D95E51" w:rsidRDefault="002D4E10" w:rsidP="00615EB7">
            <w:pPr>
              <w:ind w:right="49" w:hanging="118"/>
              <w:jc w:val="center"/>
              <w:rPr>
                <w:sz w:val="22"/>
                <w:szCs w:val="22"/>
              </w:rPr>
            </w:pPr>
          </w:p>
        </w:tc>
      </w:tr>
    </w:tbl>
    <w:p w14:paraId="536A77E4" w14:textId="77777777" w:rsidR="002D4E10" w:rsidRPr="00D95E51" w:rsidRDefault="002D4E10" w:rsidP="002D4E10">
      <w:pPr>
        <w:widowControl w:val="0"/>
        <w:autoSpaceDE w:val="0"/>
        <w:autoSpaceDN w:val="0"/>
        <w:ind w:right="49" w:firstLine="567"/>
        <w:jc w:val="both"/>
        <w:rPr>
          <w:i/>
          <w:iCs/>
          <w:sz w:val="22"/>
          <w:szCs w:val="22"/>
        </w:rPr>
      </w:pPr>
      <w:r w:rsidRPr="00D95E51">
        <w:rPr>
          <w:i/>
          <w:iCs/>
          <w:sz w:val="22"/>
          <w:szCs w:val="22"/>
        </w:rPr>
        <w:t>p</w:t>
      </w:r>
      <w:r w:rsidRPr="00D95E51">
        <w:rPr>
          <w:i/>
          <w:iCs/>
          <w:sz w:val="22"/>
          <w:szCs w:val="22"/>
          <w:vertAlign w:val="superscript"/>
        </w:rPr>
        <w:t>1</w:t>
      </w:r>
      <w:r w:rsidRPr="00D95E51">
        <w:rPr>
          <w:i/>
          <w:iCs/>
          <w:sz w:val="22"/>
          <w:szCs w:val="22"/>
        </w:rPr>
        <w:t>: so sánh 2 nhóm can thiệp và nhóm đối chứng cùng ở cùng thời điểm, sử dụng ANOVA Test.</w:t>
      </w:r>
    </w:p>
    <w:p w14:paraId="36864331" w14:textId="77777777" w:rsidR="002D4E10" w:rsidRPr="00D95E51" w:rsidRDefault="002D4E10" w:rsidP="002D4E10">
      <w:pPr>
        <w:widowControl w:val="0"/>
        <w:autoSpaceDE w:val="0"/>
        <w:autoSpaceDN w:val="0"/>
        <w:ind w:right="49" w:firstLine="567"/>
        <w:jc w:val="both"/>
        <w:rPr>
          <w:i/>
          <w:iCs/>
          <w:sz w:val="22"/>
          <w:szCs w:val="22"/>
        </w:rPr>
      </w:pPr>
      <w:r w:rsidRPr="00D95E51">
        <w:rPr>
          <w:i/>
          <w:iCs/>
          <w:sz w:val="22"/>
          <w:szCs w:val="22"/>
        </w:rPr>
        <w:t>p</w:t>
      </w:r>
      <w:r w:rsidRPr="00D95E51">
        <w:rPr>
          <w:i/>
          <w:iCs/>
          <w:sz w:val="22"/>
          <w:szCs w:val="22"/>
          <w:vertAlign w:val="superscript"/>
        </w:rPr>
        <w:t>2</w:t>
      </w:r>
      <w:r w:rsidRPr="00D95E51">
        <w:rPr>
          <w:i/>
          <w:iCs/>
          <w:sz w:val="22"/>
          <w:szCs w:val="22"/>
        </w:rPr>
        <w:t>: so sánh cùng nhóm ở hai thời điểm trước và sau can thiệp, sử dụng kiểm định paired t-test.</w:t>
      </w:r>
    </w:p>
    <w:p w14:paraId="57CC6EB7" w14:textId="6BD67013" w:rsidR="002D4E10" w:rsidRPr="00D95E51" w:rsidRDefault="002D4E10" w:rsidP="002D4E10">
      <w:pPr>
        <w:ind w:right="49" w:firstLine="567"/>
        <w:jc w:val="both"/>
        <w:rPr>
          <w:b/>
          <w:sz w:val="22"/>
          <w:szCs w:val="22"/>
        </w:rPr>
      </w:pPr>
      <w:r w:rsidRPr="00D95E51">
        <w:rPr>
          <w:sz w:val="22"/>
          <w:szCs w:val="22"/>
        </w:rPr>
        <w:t>Bảng 3.</w:t>
      </w:r>
      <w:r w:rsidR="00F45184">
        <w:rPr>
          <w:sz w:val="22"/>
          <w:szCs w:val="22"/>
        </w:rPr>
        <w:t>3</w:t>
      </w:r>
      <w:r w:rsidRPr="00D95E51">
        <w:rPr>
          <w:sz w:val="22"/>
          <w:szCs w:val="22"/>
        </w:rPr>
        <w:t xml:space="preserve"> cho thấy chỉ số WHZ trung bình ở các nhóm trước và sau can thiệp. Thay đổi giá trị WHZ so với trước can thiệp ở nhóm chứng là 0</w:t>
      </w:r>
      <w:proofErr w:type="gramStart"/>
      <w:r w:rsidRPr="00D95E51">
        <w:rPr>
          <w:sz w:val="22"/>
          <w:szCs w:val="22"/>
        </w:rPr>
        <w:t>,50</w:t>
      </w:r>
      <w:proofErr w:type="gramEnd"/>
      <w:r w:rsidRPr="00D95E51">
        <w:rPr>
          <w:sz w:val="22"/>
          <w:szCs w:val="22"/>
        </w:rPr>
        <w:t xml:space="preserve"> </w:t>
      </w:r>
      <w:r w:rsidRPr="00D95E51">
        <w:rPr>
          <w:sz w:val="22"/>
          <w:szCs w:val="22"/>
        </w:rPr>
        <w:sym w:font="Symbol" w:char="F0B1"/>
      </w:r>
      <w:r w:rsidRPr="00D95E51">
        <w:rPr>
          <w:sz w:val="22"/>
          <w:szCs w:val="22"/>
        </w:rPr>
        <w:t xml:space="preserve"> 0,55; ở nhóm bổ sung kẽm là 0,61 </w:t>
      </w:r>
      <w:r w:rsidRPr="00D95E51">
        <w:rPr>
          <w:sz w:val="22"/>
          <w:szCs w:val="22"/>
        </w:rPr>
        <w:sym w:font="Symbol" w:char="F0B1"/>
      </w:r>
      <w:r w:rsidRPr="00D95E51">
        <w:rPr>
          <w:sz w:val="22"/>
          <w:szCs w:val="22"/>
        </w:rPr>
        <w:t xml:space="preserve"> 0,54; ở nhóm bổ sung sắt - kẽm là 0,56 </w:t>
      </w:r>
      <w:r w:rsidRPr="00D95E51">
        <w:rPr>
          <w:sz w:val="22"/>
          <w:szCs w:val="22"/>
        </w:rPr>
        <w:sym w:font="Symbol" w:char="F0B1"/>
      </w:r>
      <w:r w:rsidRPr="00D95E51">
        <w:rPr>
          <w:sz w:val="22"/>
          <w:szCs w:val="22"/>
        </w:rPr>
        <w:t xml:space="preserve"> 0,48. Sự thay đổi WHZ trung bình trước và sau can thiệp của các nhóm có ý nghĩa thống kê (p = 0,001).</w:t>
      </w:r>
    </w:p>
    <w:p w14:paraId="58C039FF" w14:textId="363579F7" w:rsidR="00506FFB" w:rsidRPr="00D95E51" w:rsidRDefault="00506FFB" w:rsidP="008D4648">
      <w:pPr>
        <w:pStyle w:val="Caption"/>
        <w:spacing w:before="0" w:after="0" w:line="312" w:lineRule="auto"/>
        <w:rPr>
          <w:b/>
          <w:bCs/>
          <w:sz w:val="22"/>
          <w:szCs w:val="22"/>
        </w:rPr>
      </w:pPr>
      <w:bookmarkStart w:id="18" w:name="_Toc107765663"/>
      <w:bookmarkStart w:id="19" w:name="_Toc118577310"/>
      <w:bookmarkStart w:id="20" w:name="_Toc118656362"/>
      <w:bookmarkStart w:id="21" w:name="_Toc137282936"/>
      <w:r w:rsidRPr="00D95E51">
        <w:rPr>
          <w:b/>
          <w:sz w:val="22"/>
          <w:szCs w:val="22"/>
        </w:rPr>
        <w:t xml:space="preserve">Bảng 3. </w:t>
      </w:r>
      <w:r w:rsidRPr="00D95E51">
        <w:rPr>
          <w:b/>
          <w:sz w:val="22"/>
          <w:szCs w:val="22"/>
        </w:rPr>
        <w:fldChar w:fldCharType="begin"/>
      </w:r>
      <w:r w:rsidRPr="00D95E51">
        <w:rPr>
          <w:b/>
          <w:sz w:val="22"/>
          <w:szCs w:val="22"/>
        </w:rPr>
        <w:instrText xml:space="preserve"> SEQ Bảng_3. \* ARABIC </w:instrText>
      </w:r>
      <w:r w:rsidRPr="00D95E51">
        <w:rPr>
          <w:b/>
          <w:sz w:val="22"/>
          <w:szCs w:val="22"/>
        </w:rPr>
        <w:fldChar w:fldCharType="separate"/>
      </w:r>
      <w:r w:rsidR="003C4637">
        <w:rPr>
          <w:b/>
          <w:noProof/>
          <w:sz w:val="22"/>
          <w:szCs w:val="22"/>
        </w:rPr>
        <w:t>4</w:t>
      </w:r>
      <w:r w:rsidRPr="00D95E51">
        <w:rPr>
          <w:b/>
          <w:sz w:val="22"/>
          <w:szCs w:val="22"/>
        </w:rPr>
        <w:fldChar w:fldCharType="end"/>
      </w:r>
      <w:r w:rsidRPr="00D95E51">
        <w:rPr>
          <w:b/>
          <w:bCs/>
          <w:sz w:val="22"/>
          <w:szCs w:val="22"/>
        </w:rPr>
        <w:t>. Thay đổi nồng độ Hb của đối tượng nghiên cứu sau 6 tháng can thiệp</w:t>
      </w:r>
      <w:bookmarkEnd w:id="18"/>
      <w:bookmarkEnd w:id="19"/>
      <w:bookmarkEnd w:id="20"/>
      <w:bookmarkEnd w:id="21"/>
      <w:r w:rsidRPr="00D95E51">
        <w:rPr>
          <w:b/>
          <w:bCs/>
          <w:sz w:val="22"/>
          <w:szCs w:val="22"/>
        </w:rPr>
        <w:t xml:space="preserve"> </w:t>
      </w:r>
      <w:bookmarkStart w:id="22" w:name="_Hlk102075220"/>
    </w:p>
    <w:tbl>
      <w:tblPr>
        <w:tblW w:w="705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1504"/>
        <w:gridCol w:w="1504"/>
        <w:gridCol w:w="1504"/>
        <w:gridCol w:w="846"/>
      </w:tblGrid>
      <w:tr w:rsidR="00506FFB" w:rsidRPr="00D95E51" w14:paraId="4EB24778" w14:textId="77777777" w:rsidTr="00FD316E">
        <w:trPr>
          <w:trHeight w:val="265"/>
          <w:tblHeader/>
        </w:trPr>
        <w:tc>
          <w:tcPr>
            <w:tcW w:w="1692" w:type="dxa"/>
            <w:vMerge w:val="restart"/>
            <w:shd w:val="clear" w:color="auto" w:fill="auto"/>
          </w:tcPr>
          <w:p w14:paraId="617DCB78" w14:textId="77777777" w:rsidR="00506FFB" w:rsidRPr="00D95E51" w:rsidRDefault="00506FFB" w:rsidP="00E474AB">
            <w:pPr>
              <w:spacing w:line="276" w:lineRule="auto"/>
              <w:ind w:right="49" w:firstLine="24"/>
              <w:rPr>
                <w:b/>
                <w:bCs/>
                <w:sz w:val="22"/>
                <w:szCs w:val="22"/>
              </w:rPr>
            </w:pPr>
          </w:p>
          <w:p w14:paraId="31F3A0A6" w14:textId="77777777" w:rsidR="00506FFB" w:rsidRPr="00D95E51" w:rsidRDefault="00506FFB" w:rsidP="00E474AB">
            <w:pPr>
              <w:spacing w:line="276" w:lineRule="auto"/>
              <w:ind w:right="49" w:firstLine="24"/>
              <w:rPr>
                <w:sz w:val="22"/>
                <w:szCs w:val="22"/>
                <w:lang w:val="it-IT"/>
              </w:rPr>
            </w:pPr>
            <w:r w:rsidRPr="00D95E51">
              <w:rPr>
                <w:b/>
                <w:bCs/>
                <w:sz w:val="22"/>
                <w:szCs w:val="22"/>
              </w:rPr>
              <w:t>Nồng độ Hb (g/L)</w:t>
            </w:r>
          </w:p>
        </w:tc>
        <w:tc>
          <w:tcPr>
            <w:tcW w:w="4512" w:type="dxa"/>
            <w:gridSpan w:val="3"/>
            <w:shd w:val="clear" w:color="auto" w:fill="auto"/>
          </w:tcPr>
          <w:p w14:paraId="6A66C2EA" w14:textId="77777777" w:rsidR="00506FFB" w:rsidRPr="00D95E51" w:rsidRDefault="00506FFB" w:rsidP="00E474AB">
            <w:pPr>
              <w:spacing w:line="276" w:lineRule="auto"/>
              <w:ind w:right="49" w:firstLine="24"/>
              <w:jc w:val="center"/>
              <w:rPr>
                <w:b/>
                <w:bCs/>
                <w:sz w:val="22"/>
                <w:szCs w:val="22"/>
              </w:rPr>
            </w:pPr>
            <w:r w:rsidRPr="00D95E51">
              <w:rPr>
                <w:b/>
                <w:bCs/>
                <w:sz w:val="22"/>
                <w:szCs w:val="22"/>
              </w:rPr>
              <w:t>Nhóm nghiên cứu</w:t>
            </w:r>
          </w:p>
        </w:tc>
        <w:tc>
          <w:tcPr>
            <w:tcW w:w="846" w:type="dxa"/>
            <w:vMerge w:val="restart"/>
            <w:shd w:val="clear" w:color="auto" w:fill="auto"/>
          </w:tcPr>
          <w:p w14:paraId="03507735" w14:textId="77777777" w:rsidR="00506FFB" w:rsidRPr="00D95E51" w:rsidRDefault="00506FFB" w:rsidP="00E474AB">
            <w:pPr>
              <w:spacing w:line="276" w:lineRule="auto"/>
              <w:ind w:right="49" w:firstLine="24"/>
              <w:jc w:val="center"/>
              <w:rPr>
                <w:sz w:val="22"/>
                <w:szCs w:val="22"/>
                <w:lang w:val="it-IT"/>
              </w:rPr>
            </w:pPr>
          </w:p>
          <w:p w14:paraId="40F9EAD2" w14:textId="77777777" w:rsidR="00506FFB" w:rsidRPr="00D95E51" w:rsidRDefault="00506FFB" w:rsidP="00E474AB">
            <w:pPr>
              <w:spacing w:line="276" w:lineRule="auto"/>
              <w:ind w:right="49" w:firstLine="24"/>
              <w:jc w:val="center"/>
              <w:rPr>
                <w:b/>
                <w:bCs/>
                <w:sz w:val="22"/>
                <w:szCs w:val="22"/>
              </w:rPr>
            </w:pPr>
            <w:r w:rsidRPr="00D95E51">
              <w:rPr>
                <w:b/>
                <w:bCs/>
                <w:sz w:val="22"/>
                <w:szCs w:val="22"/>
                <w:lang w:val="it-IT"/>
              </w:rPr>
              <w:t>p</w:t>
            </w:r>
            <w:r w:rsidRPr="00D95E51">
              <w:rPr>
                <w:b/>
                <w:bCs/>
                <w:sz w:val="22"/>
                <w:szCs w:val="22"/>
                <w:vertAlign w:val="superscript"/>
                <w:lang w:val="it-IT"/>
              </w:rPr>
              <w:t>1</w:t>
            </w:r>
          </w:p>
        </w:tc>
      </w:tr>
      <w:tr w:rsidR="00506FFB" w:rsidRPr="00D95E51" w14:paraId="52AC71A4" w14:textId="77777777" w:rsidTr="00FD316E">
        <w:trPr>
          <w:trHeight w:val="546"/>
          <w:tblHeader/>
        </w:trPr>
        <w:tc>
          <w:tcPr>
            <w:tcW w:w="1692" w:type="dxa"/>
            <w:vMerge/>
            <w:shd w:val="clear" w:color="auto" w:fill="auto"/>
          </w:tcPr>
          <w:p w14:paraId="286C9485" w14:textId="77777777" w:rsidR="00506FFB" w:rsidRPr="00D95E51" w:rsidRDefault="00506FFB" w:rsidP="00E474AB">
            <w:pPr>
              <w:spacing w:line="276" w:lineRule="auto"/>
              <w:ind w:right="49" w:firstLine="24"/>
              <w:rPr>
                <w:sz w:val="22"/>
                <w:szCs w:val="22"/>
              </w:rPr>
            </w:pPr>
          </w:p>
        </w:tc>
        <w:tc>
          <w:tcPr>
            <w:tcW w:w="1504" w:type="dxa"/>
            <w:shd w:val="clear" w:color="auto" w:fill="auto"/>
          </w:tcPr>
          <w:p w14:paraId="688A888F" w14:textId="77777777" w:rsidR="00506FFB" w:rsidRPr="00D95E51" w:rsidRDefault="00506FFB" w:rsidP="00E474AB">
            <w:pPr>
              <w:spacing w:line="276" w:lineRule="auto"/>
              <w:ind w:right="49" w:firstLine="24"/>
              <w:jc w:val="center"/>
              <w:rPr>
                <w:sz w:val="22"/>
                <w:szCs w:val="22"/>
              </w:rPr>
            </w:pPr>
            <w:r w:rsidRPr="00D95E51">
              <w:rPr>
                <w:b/>
                <w:bCs/>
                <w:sz w:val="22"/>
                <w:szCs w:val="22"/>
              </w:rPr>
              <w:t>Nhóm chứng (n=99)</w:t>
            </w:r>
          </w:p>
        </w:tc>
        <w:tc>
          <w:tcPr>
            <w:tcW w:w="1504" w:type="dxa"/>
            <w:shd w:val="clear" w:color="auto" w:fill="auto"/>
          </w:tcPr>
          <w:p w14:paraId="25A5B26A" w14:textId="77777777" w:rsidR="00506FFB" w:rsidRPr="00D95E51" w:rsidRDefault="00506FFB" w:rsidP="00B56CC9">
            <w:pPr>
              <w:spacing w:line="276" w:lineRule="auto"/>
              <w:ind w:right="49" w:firstLine="24"/>
              <w:jc w:val="center"/>
              <w:rPr>
                <w:b/>
                <w:bCs/>
                <w:sz w:val="22"/>
                <w:szCs w:val="22"/>
              </w:rPr>
            </w:pPr>
            <w:r w:rsidRPr="00D95E51">
              <w:rPr>
                <w:b/>
                <w:bCs/>
                <w:sz w:val="22"/>
                <w:szCs w:val="22"/>
              </w:rPr>
              <w:t>Nhóm b</w:t>
            </w:r>
            <w:r w:rsidR="00B56CC9" w:rsidRPr="00D95E51">
              <w:rPr>
                <w:b/>
                <w:bCs/>
                <w:sz w:val="22"/>
                <w:szCs w:val="22"/>
              </w:rPr>
              <w:t>s</w:t>
            </w:r>
            <w:r w:rsidRPr="00D95E51">
              <w:rPr>
                <w:b/>
                <w:bCs/>
                <w:sz w:val="22"/>
                <w:szCs w:val="22"/>
              </w:rPr>
              <w:t xml:space="preserve"> kẽm (n=93)</w:t>
            </w:r>
          </w:p>
        </w:tc>
        <w:tc>
          <w:tcPr>
            <w:tcW w:w="1504" w:type="dxa"/>
            <w:shd w:val="clear" w:color="auto" w:fill="auto"/>
          </w:tcPr>
          <w:p w14:paraId="60BA4587" w14:textId="77777777" w:rsidR="00506FFB" w:rsidRPr="00D95E51" w:rsidRDefault="00506FFB" w:rsidP="00B56CC9">
            <w:pPr>
              <w:spacing w:line="276" w:lineRule="auto"/>
              <w:ind w:right="49" w:firstLine="24"/>
              <w:jc w:val="center"/>
              <w:rPr>
                <w:b/>
                <w:bCs/>
                <w:sz w:val="22"/>
                <w:szCs w:val="22"/>
              </w:rPr>
            </w:pPr>
            <w:r w:rsidRPr="00D95E51">
              <w:rPr>
                <w:b/>
                <w:bCs/>
                <w:sz w:val="22"/>
                <w:szCs w:val="22"/>
              </w:rPr>
              <w:t xml:space="preserve">Nhóm </w:t>
            </w:r>
            <w:r w:rsidR="00B56CC9" w:rsidRPr="00D95E51">
              <w:rPr>
                <w:b/>
                <w:bCs/>
                <w:sz w:val="22"/>
                <w:szCs w:val="22"/>
              </w:rPr>
              <w:t>bs</w:t>
            </w:r>
            <w:r w:rsidRPr="00D95E51">
              <w:rPr>
                <w:b/>
                <w:bCs/>
                <w:sz w:val="22"/>
                <w:szCs w:val="22"/>
              </w:rPr>
              <w:t xml:space="preserve"> sắt-kẽm (n=97)</w:t>
            </w:r>
          </w:p>
        </w:tc>
        <w:tc>
          <w:tcPr>
            <w:tcW w:w="846" w:type="dxa"/>
            <w:vMerge/>
            <w:shd w:val="clear" w:color="auto" w:fill="auto"/>
          </w:tcPr>
          <w:p w14:paraId="650A2EA6" w14:textId="77777777" w:rsidR="00506FFB" w:rsidRPr="00D95E51" w:rsidRDefault="00506FFB" w:rsidP="00E474AB">
            <w:pPr>
              <w:spacing w:line="276" w:lineRule="auto"/>
              <w:ind w:right="49" w:firstLine="24"/>
              <w:jc w:val="center"/>
              <w:rPr>
                <w:sz w:val="22"/>
                <w:szCs w:val="22"/>
              </w:rPr>
            </w:pPr>
          </w:p>
        </w:tc>
      </w:tr>
      <w:tr w:rsidR="00506FFB" w:rsidRPr="00D95E51" w14:paraId="36A00EF3" w14:textId="77777777" w:rsidTr="00FD316E">
        <w:trPr>
          <w:trHeight w:val="265"/>
        </w:trPr>
        <w:tc>
          <w:tcPr>
            <w:tcW w:w="1692" w:type="dxa"/>
            <w:shd w:val="clear" w:color="auto" w:fill="auto"/>
          </w:tcPr>
          <w:p w14:paraId="3C908A87" w14:textId="74B8E136" w:rsidR="00506FFB" w:rsidRPr="00FD316E" w:rsidRDefault="00506FFB" w:rsidP="00E474AB">
            <w:pPr>
              <w:spacing w:line="276" w:lineRule="auto"/>
              <w:ind w:right="49" w:firstLine="24"/>
              <w:rPr>
                <w:bCs/>
                <w:sz w:val="22"/>
                <w:szCs w:val="22"/>
              </w:rPr>
            </w:pPr>
            <w:bookmarkStart w:id="23" w:name="_Hlk133914212"/>
            <w:r w:rsidRPr="00FD316E">
              <w:rPr>
                <w:bCs/>
                <w:sz w:val="22"/>
                <w:szCs w:val="22"/>
              </w:rPr>
              <w:t>Trước can thiệp</w:t>
            </w:r>
            <w:bookmarkEnd w:id="23"/>
          </w:p>
        </w:tc>
        <w:tc>
          <w:tcPr>
            <w:tcW w:w="1504" w:type="dxa"/>
            <w:shd w:val="clear" w:color="auto" w:fill="auto"/>
          </w:tcPr>
          <w:p w14:paraId="101F30BE" w14:textId="77777777" w:rsidR="00506FFB" w:rsidRPr="00D95E51" w:rsidRDefault="00506FFB" w:rsidP="00E474AB">
            <w:pPr>
              <w:spacing w:line="276" w:lineRule="auto"/>
              <w:ind w:right="49" w:firstLine="24"/>
              <w:jc w:val="center"/>
              <w:rPr>
                <w:sz w:val="22"/>
                <w:szCs w:val="22"/>
              </w:rPr>
            </w:pPr>
            <w:r w:rsidRPr="00D95E51">
              <w:rPr>
                <w:sz w:val="22"/>
                <w:szCs w:val="22"/>
              </w:rPr>
              <w:t>114,1 ± 10,1</w:t>
            </w:r>
          </w:p>
        </w:tc>
        <w:tc>
          <w:tcPr>
            <w:tcW w:w="1504" w:type="dxa"/>
            <w:shd w:val="clear" w:color="auto" w:fill="auto"/>
          </w:tcPr>
          <w:p w14:paraId="179D9862" w14:textId="77777777" w:rsidR="00506FFB" w:rsidRPr="00D95E51" w:rsidRDefault="00506FFB" w:rsidP="00E474AB">
            <w:pPr>
              <w:spacing w:line="276" w:lineRule="auto"/>
              <w:ind w:right="49" w:firstLine="24"/>
              <w:jc w:val="center"/>
              <w:rPr>
                <w:sz w:val="22"/>
                <w:szCs w:val="22"/>
              </w:rPr>
            </w:pPr>
            <w:r w:rsidRPr="00D95E51">
              <w:rPr>
                <w:sz w:val="22"/>
                <w:szCs w:val="22"/>
              </w:rPr>
              <w:t>113,8 ± 11,4</w:t>
            </w:r>
          </w:p>
        </w:tc>
        <w:tc>
          <w:tcPr>
            <w:tcW w:w="1504" w:type="dxa"/>
            <w:shd w:val="clear" w:color="auto" w:fill="auto"/>
          </w:tcPr>
          <w:p w14:paraId="13EB934A" w14:textId="77777777" w:rsidR="00506FFB" w:rsidRPr="00D95E51" w:rsidRDefault="00506FFB" w:rsidP="00E474AB">
            <w:pPr>
              <w:spacing w:line="276" w:lineRule="auto"/>
              <w:ind w:right="49" w:firstLine="24"/>
              <w:jc w:val="center"/>
              <w:rPr>
                <w:sz w:val="22"/>
                <w:szCs w:val="22"/>
              </w:rPr>
            </w:pPr>
            <w:r w:rsidRPr="00D95E51">
              <w:rPr>
                <w:sz w:val="22"/>
                <w:szCs w:val="22"/>
              </w:rPr>
              <w:t>116,3 ± 12,1</w:t>
            </w:r>
          </w:p>
        </w:tc>
        <w:tc>
          <w:tcPr>
            <w:tcW w:w="846" w:type="dxa"/>
            <w:shd w:val="clear" w:color="auto" w:fill="auto"/>
          </w:tcPr>
          <w:p w14:paraId="4F7E2D63" w14:textId="77777777" w:rsidR="00506FFB" w:rsidRPr="00D95E51" w:rsidRDefault="00506FFB" w:rsidP="00E474AB">
            <w:pPr>
              <w:spacing w:line="276" w:lineRule="auto"/>
              <w:ind w:right="49" w:firstLine="24"/>
              <w:jc w:val="center"/>
              <w:rPr>
                <w:sz w:val="22"/>
                <w:szCs w:val="22"/>
              </w:rPr>
            </w:pPr>
            <w:r w:rsidRPr="00D95E51">
              <w:rPr>
                <w:sz w:val="22"/>
                <w:szCs w:val="22"/>
              </w:rPr>
              <w:t>0,246</w:t>
            </w:r>
          </w:p>
        </w:tc>
      </w:tr>
      <w:tr w:rsidR="00506FFB" w:rsidRPr="00D95E51" w14:paraId="3046D108" w14:textId="77777777" w:rsidTr="00FD316E">
        <w:trPr>
          <w:trHeight w:val="265"/>
        </w:trPr>
        <w:tc>
          <w:tcPr>
            <w:tcW w:w="1692" w:type="dxa"/>
            <w:shd w:val="clear" w:color="auto" w:fill="auto"/>
          </w:tcPr>
          <w:p w14:paraId="356A4DE7" w14:textId="77777777" w:rsidR="00506FFB" w:rsidRPr="00FD316E" w:rsidRDefault="00506FFB" w:rsidP="00E474AB">
            <w:pPr>
              <w:spacing w:line="276" w:lineRule="auto"/>
              <w:ind w:right="49" w:firstLine="24"/>
              <w:rPr>
                <w:bCs/>
                <w:sz w:val="22"/>
                <w:szCs w:val="22"/>
              </w:rPr>
            </w:pPr>
            <w:r w:rsidRPr="00FD316E">
              <w:rPr>
                <w:bCs/>
                <w:sz w:val="22"/>
                <w:szCs w:val="22"/>
              </w:rPr>
              <w:t xml:space="preserve">Sau can thiệp </w:t>
            </w:r>
          </w:p>
        </w:tc>
        <w:tc>
          <w:tcPr>
            <w:tcW w:w="1504" w:type="dxa"/>
            <w:shd w:val="clear" w:color="auto" w:fill="auto"/>
          </w:tcPr>
          <w:p w14:paraId="4A3B77A6" w14:textId="77777777" w:rsidR="00506FFB" w:rsidRPr="00D95E51" w:rsidRDefault="00506FFB" w:rsidP="00E474AB">
            <w:pPr>
              <w:spacing w:line="276" w:lineRule="auto"/>
              <w:ind w:right="49" w:firstLine="24"/>
              <w:jc w:val="center"/>
              <w:rPr>
                <w:sz w:val="22"/>
                <w:szCs w:val="22"/>
              </w:rPr>
            </w:pPr>
            <w:r w:rsidRPr="00D95E51">
              <w:rPr>
                <w:sz w:val="22"/>
                <w:szCs w:val="22"/>
              </w:rPr>
              <w:t>117,3 ± 11,6</w:t>
            </w:r>
          </w:p>
        </w:tc>
        <w:tc>
          <w:tcPr>
            <w:tcW w:w="1504" w:type="dxa"/>
            <w:shd w:val="clear" w:color="auto" w:fill="auto"/>
          </w:tcPr>
          <w:p w14:paraId="666A0840" w14:textId="77777777" w:rsidR="00506FFB" w:rsidRPr="00D95E51" w:rsidRDefault="00506FFB" w:rsidP="00E474AB">
            <w:pPr>
              <w:spacing w:line="276" w:lineRule="auto"/>
              <w:ind w:right="49" w:firstLine="24"/>
              <w:jc w:val="center"/>
              <w:rPr>
                <w:sz w:val="22"/>
                <w:szCs w:val="22"/>
              </w:rPr>
            </w:pPr>
            <w:r w:rsidRPr="00D95E51">
              <w:rPr>
                <w:sz w:val="22"/>
                <w:szCs w:val="22"/>
              </w:rPr>
              <w:t>117,2 ± 12,6</w:t>
            </w:r>
          </w:p>
        </w:tc>
        <w:tc>
          <w:tcPr>
            <w:tcW w:w="1504" w:type="dxa"/>
            <w:shd w:val="clear" w:color="auto" w:fill="auto"/>
          </w:tcPr>
          <w:p w14:paraId="0CCB5D23" w14:textId="77777777" w:rsidR="00506FFB" w:rsidRPr="00D95E51" w:rsidRDefault="00506FFB" w:rsidP="00E474AB">
            <w:pPr>
              <w:spacing w:line="276" w:lineRule="auto"/>
              <w:ind w:right="49" w:firstLine="24"/>
              <w:jc w:val="center"/>
              <w:rPr>
                <w:sz w:val="22"/>
                <w:szCs w:val="22"/>
              </w:rPr>
            </w:pPr>
            <w:r w:rsidRPr="00D95E51">
              <w:rPr>
                <w:sz w:val="22"/>
                <w:szCs w:val="22"/>
              </w:rPr>
              <w:t>118,9 ± 13,3</w:t>
            </w:r>
          </w:p>
        </w:tc>
        <w:tc>
          <w:tcPr>
            <w:tcW w:w="846" w:type="dxa"/>
            <w:shd w:val="clear" w:color="auto" w:fill="auto"/>
          </w:tcPr>
          <w:p w14:paraId="70C0D20B" w14:textId="77777777" w:rsidR="00506FFB" w:rsidRPr="00D95E51" w:rsidRDefault="00506FFB" w:rsidP="00E474AB">
            <w:pPr>
              <w:spacing w:line="276" w:lineRule="auto"/>
              <w:ind w:right="49" w:firstLine="24"/>
              <w:jc w:val="center"/>
              <w:rPr>
                <w:sz w:val="22"/>
                <w:szCs w:val="22"/>
              </w:rPr>
            </w:pPr>
            <w:r w:rsidRPr="00D95E51">
              <w:rPr>
                <w:sz w:val="22"/>
                <w:szCs w:val="22"/>
              </w:rPr>
              <w:t>0,581</w:t>
            </w:r>
          </w:p>
        </w:tc>
      </w:tr>
      <w:tr w:rsidR="00506FFB" w:rsidRPr="00D95E51" w14:paraId="3B16EFE1" w14:textId="77777777" w:rsidTr="00FD316E">
        <w:trPr>
          <w:trHeight w:val="265"/>
        </w:trPr>
        <w:tc>
          <w:tcPr>
            <w:tcW w:w="1692" w:type="dxa"/>
            <w:shd w:val="clear" w:color="auto" w:fill="auto"/>
          </w:tcPr>
          <w:p w14:paraId="27CDDC13" w14:textId="77777777" w:rsidR="00506FFB" w:rsidRPr="00FD316E" w:rsidRDefault="00506FFB" w:rsidP="00E474AB">
            <w:pPr>
              <w:spacing w:line="276" w:lineRule="auto"/>
              <w:ind w:right="49" w:firstLine="24"/>
              <w:rPr>
                <w:bCs/>
                <w:sz w:val="22"/>
                <w:szCs w:val="22"/>
              </w:rPr>
            </w:pPr>
            <w:r w:rsidRPr="00FD316E">
              <w:rPr>
                <w:bCs/>
                <w:sz w:val="22"/>
                <w:szCs w:val="22"/>
              </w:rPr>
              <w:t xml:space="preserve">Thay đổi </w:t>
            </w:r>
          </w:p>
        </w:tc>
        <w:tc>
          <w:tcPr>
            <w:tcW w:w="1504" w:type="dxa"/>
            <w:shd w:val="clear" w:color="auto" w:fill="auto"/>
          </w:tcPr>
          <w:p w14:paraId="1F809946" w14:textId="77777777" w:rsidR="00506FFB" w:rsidRPr="00D95E51" w:rsidRDefault="00506FFB" w:rsidP="00E474AB">
            <w:pPr>
              <w:spacing w:line="276" w:lineRule="auto"/>
              <w:ind w:right="49" w:firstLine="24"/>
              <w:jc w:val="center"/>
              <w:rPr>
                <w:sz w:val="22"/>
                <w:szCs w:val="22"/>
              </w:rPr>
            </w:pPr>
            <w:r w:rsidRPr="00D95E51">
              <w:rPr>
                <w:sz w:val="22"/>
                <w:szCs w:val="22"/>
              </w:rPr>
              <w:t>3,2 ± 12,7</w:t>
            </w:r>
          </w:p>
        </w:tc>
        <w:tc>
          <w:tcPr>
            <w:tcW w:w="1504" w:type="dxa"/>
            <w:shd w:val="clear" w:color="auto" w:fill="auto"/>
          </w:tcPr>
          <w:p w14:paraId="2384DA23" w14:textId="77777777" w:rsidR="00506FFB" w:rsidRPr="00D95E51" w:rsidRDefault="00506FFB" w:rsidP="00E474AB">
            <w:pPr>
              <w:spacing w:line="276" w:lineRule="auto"/>
              <w:ind w:right="49" w:firstLine="24"/>
              <w:jc w:val="center"/>
              <w:rPr>
                <w:sz w:val="22"/>
                <w:szCs w:val="22"/>
              </w:rPr>
            </w:pPr>
            <w:r w:rsidRPr="00D95E51">
              <w:rPr>
                <w:sz w:val="22"/>
                <w:szCs w:val="22"/>
              </w:rPr>
              <w:t>3,4 ± 13,6</w:t>
            </w:r>
          </w:p>
        </w:tc>
        <w:tc>
          <w:tcPr>
            <w:tcW w:w="1504" w:type="dxa"/>
            <w:shd w:val="clear" w:color="auto" w:fill="auto"/>
          </w:tcPr>
          <w:p w14:paraId="3AB14409" w14:textId="77777777" w:rsidR="00506FFB" w:rsidRPr="00D95E51" w:rsidRDefault="00506FFB" w:rsidP="00E474AB">
            <w:pPr>
              <w:spacing w:line="276" w:lineRule="auto"/>
              <w:ind w:right="49" w:firstLine="24"/>
              <w:jc w:val="center"/>
              <w:rPr>
                <w:sz w:val="22"/>
                <w:szCs w:val="22"/>
              </w:rPr>
            </w:pPr>
            <w:r w:rsidRPr="00D95E51">
              <w:rPr>
                <w:sz w:val="22"/>
                <w:szCs w:val="22"/>
              </w:rPr>
              <w:t>2,6 ± 14,9</w:t>
            </w:r>
          </w:p>
        </w:tc>
        <w:tc>
          <w:tcPr>
            <w:tcW w:w="846" w:type="dxa"/>
            <w:shd w:val="clear" w:color="auto" w:fill="auto"/>
          </w:tcPr>
          <w:p w14:paraId="3D8BE682" w14:textId="77777777" w:rsidR="00506FFB" w:rsidRPr="00D95E51" w:rsidRDefault="00506FFB" w:rsidP="00E474AB">
            <w:pPr>
              <w:spacing w:line="276" w:lineRule="auto"/>
              <w:ind w:right="49" w:firstLine="24"/>
              <w:jc w:val="center"/>
              <w:rPr>
                <w:sz w:val="22"/>
                <w:szCs w:val="22"/>
              </w:rPr>
            </w:pPr>
            <w:r w:rsidRPr="00D95E51">
              <w:rPr>
                <w:sz w:val="22"/>
                <w:szCs w:val="22"/>
              </w:rPr>
              <w:t>0,911</w:t>
            </w:r>
          </w:p>
        </w:tc>
      </w:tr>
      <w:tr w:rsidR="00506FFB" w:rsidRPr="00D95E51" w14:paraId="443E5F51" w14:textId="77777777" w:rsidTr="00FD316E">
        <w:trPr>
          <w:trHeight w:val="251"/>
        </w:trPr>
        <w:tc>
          <w:tcPr>
            <w:tcW w:w="1692" w:type="dxa"/>
            <w:shd w:val="clear" w:color="auto" w:fill="auto"/>
          </w:tcPr>
          <w:p w14:paraId="79FD5EBB" w14:textId="77777777" w:rsidR="00506FFB" w:rsidRPr="00FD316E" w:rsidRDefault="00506FFB" w:rsidP="00E474AB">
            <w:pPr>
              <w:spacing w:line="276" w:lineRule="auto"/>
              <w:ind w:right="49" w:firstLine="24"/>
              <w:rPr>
                <w:bCs/>
                <w:sz w:val="22"/>
                <w:szCs w:val="22"/>
                <w:vertAlign w:val="superscript"/>
              </w:rPr>
            </w:pPr>
            <w:r w:rsidRPr="00FD316E">
              <w:rPr>
                <w:bCs/>
                <w:sz w:val="22"/>
                <w:szCs w:val="22"/>
                <w:lang w:val="it-IT"/>
              </w:rPr>
              <w:t>p</w:t>
            </w:r>
            <w:r w:rsidRPr="00FD316E">
              <w:rPr>
                <w:bCs/>
                <w:sz w:val="22"/>
                <w:szCs w:val="22"/>
                <w:vertAlign w:val="superscript"/>
                <w:lang w:val="it-IT"/>
              </w:rPr>
              <w:t>2</w:t>
            </w:r>
          </w:p>
        </w:tc>
        <w:tc>
          <w:tcPr>
            <w:tcW w:w="1504" w:type="dxa"/>
            <w:shd w:val="clear" w:color="auto" w:fill="auto"/>
          </w:tcPr>
          <w:p w14:paraId="08281D87" w14:textId="77777777" w:rsidR="00506FFB" w:rsidRPr="00FD316E" w:rsidRDefault="00506FFB" w:rsidP="00E474AB">
            <w:pPr>
              <w:spacing w:line="276" w:lineRule="auto"/>
              <w:ind w:right="49" w:firstLine="24"/>
              <w:jc w:val="center"/>
              <w:rPr>
                <w:sz w:val="22"/>
                <w:szCs w:val="22"/>
              </w:rPr>
            </w:pPr>
            <w:r w:rsidRPr="00FD316E">
              <w:rPr>
                <w:sz w:val="22"/>
                <w:szCs w:val="22"/>
              </w:rPr>
              <w:t>0,015</w:t>
            </w:r>
          </w:p>
        </w:tc>
        <w:tc>
          <w:tcPr>
            <w:tcW w:w="1504" w:type="dxa"/>
            <w:shd w:val="clear" w:color="auto" w:fill="auto"/>
          </w:tcPr>
          <w:p w14:paraId="0601859C" w14:textId="77777777" w:rsidR="00506FFB" w:rsidRPr="00FD316E" w:rsidRDefault="00506FFB" w:rsidP="00E474AB">
            <w:pPr>
              <w:spacing w:line="276" w:lineRule="auto"/>
              <w:ind w:right="49" w:firstLine="24"/>
              <w:jc w:val="center"/>
              <w:rPr>
                <w:sz w:val="22"/>
                <w:szCs w:val="22"/>
              </w:rPr>
            </w:pPr>
            <w:r w:rsidRPr="00FD316E">
              <w:rPr>
                <w:sz w:val="22"/>
                <w:szCs w:val="22"/>
              </w:rPr>
              <w:t>0,019</w:t>
            </w:r>
          </w:p>
        </w:tc>
        <w:tc>
          <w:tcPr>
            <w:tcW w:w="1504" w:type="dxa"/>
            <w:shd w:val="clear" w:color="auto" w:fill="auto"/>
          </w:tcPr>
          <w:p w14:paraId="036F62AE" w14:textId="77777777" w:rsidR="00506FFB" w:rsidRPr="00FD316E" w:rsidRDefault="00506FFB" w:rsidP="00E474AB">
            <w:pPr>
              <w:spacing w:line="276" w:lineRule="auto"/>
              <w:ind w:right="49" w:firstLine="24"/>
              <w:jc w:val="center"/>
              <w:rPr>
                <w:sz w:val="22"/>
                <w:szCs w:val="22"/>
              </w:rPr>
            </w:pPr>
            <w:r w:rsidRPr="00FD316E">
              <w:rPr>
                <w:sz w:val="22"/>
                <w:szCs w:val="22"/>
              </w:rPr>
              <w:t>0,098</w:t>
            </w:r>
          </w:p>
        </w:tc>
        <w:tc>
          <w:tcPr>
            <w:tcW w:w="846" w:type="dxa"/>
            <w:shd w:val="clear" w:color="auto" w:fill="auto"/>
          </w:tcPr>
          <w:p w14:paraId="632958BE" w14:textId="77777777" w:rsidR="00506FFB" w:rsidRPr="00D95E51" w:rsidRDefault="00506FFB" w:rsidP="00E474AB">
            <w:pPr>
              <w:spacing w:line="276" w:lineRule="auto"/>
              <w:ind w:right="49" w:firstLine="24"/>
              <w:jc w:val="center"/>
              <w:rPr>
                <w:sz w:val="22"/>
                <w:szCs w:val="22"/>
              </w:rPr>
            </w:pPr>
          </w:p>
        </w:tc>
      </w:tr>
    </w:tbl>
    <w:p w14:paraId="27DB8EA7" w14:textId="77777777" w:rsidR="00506FFB" w:rsidRPr="00D95E51" w:rsidRDefault="00506FFB" w:rsidP="00506FFB">
      <w:pPr>
        <w:widowControl w:val="0"/>
        <w:autoSpaceDE w:val="0"/>
        <w:autoSpaceDN w:val="0"/>
        <w:ind w:right="49" w:firstLine="567"/>
        <w:jc w:val="both"/>
        <w:rPr>
          <w:i/>
          <w:iCs/>
          <w:sz w:val="22"/>
          <w:szCs w:val="22"/>
        </w:rPr>
      </w:pPr>
      <w:bookmarkStart w:id="24" w:name="_Toc89175545"/>
      <w:bookmarkStart w:id="25" w:name="_Toc89177020"/>
      <w:bookmarkEnd w:id="22"/>
      <w:r w:rsidRPr="00D95E51">
        <w:rPr>
          <w:i/>
          <w:iCs/>
          <w:sz w:val="22"/>
          <w:szCs w:val="22"/>
        </w:rPr>
        <w:t>p</w:t>
      </w:r>
      <w:r w:rsidRPr="00D95E51">
        <w:rPr>
          <w:i/>
          <w:iCs/>
          <w:sz w:val="22"/>
          <w:szCs w:val="22"/>
          <w:vertAlign w:val="superscript"/>
        </w:rPr>
        <w:t>1</w:t>
      </w:r>
      <w:r w:rsidRPr="00D95E51">
        <w:rPr>
          <w:i/>
          <w:iCs/>
          <w:sz w:val="22"/>
          <w:szCs w:val="22"/>
        </w:rPr>
        <w:t>: so sánh 2 nhóm can thiệp và nhóm đối chứng cùng ở cùng thời điểm, sử dụng kiểm định ANOVA Test.</w:t>
      </w:r>
    </w:p>
    <w:p w14:paraId="2CFC698C" w14:textId="77777777" w:rsidR="00506FFB" w:rsidRPr="00D95E51" w:rsidRDefault="00506FFB" w:rsidP="00506FFB">
      <w:pPr>
        <w:widowControl w:val="0"/>
        <w:autoSpaceDE w:val="0"/>
        <w:autoSpaceDN w:val="0"/>
        <w:ind w:right="49" w:firstLine="567"/>
        <w:jc w:val="both"/>
        <w:rPr>
          <w:i/>
          <w:iCs/>
          <w:sz w:val="22"/>
          <w:szCs w:val="22"/>
        </w:rPr>
      </w:pPr>
      <w:r w:rsidRPr="00D95E51">
        <w:rPr>
          <w:i/>
          <w:iCs/>
          <w:sz w:val="22"/>
          <w:szCs w:val="22"/>
        </w:rPr>
        <w:t>p</w:t>
      </w:r>
      <w:r w:rsidRPr="00D95E51">
        <w:rPr>
          <w:i/>
          <w:iCs/>
          <w:sz w:val="22"/>
          <w:szCs w:val="22"/>
          <w:vertAlign w:val="superscript"/>
        </w:rPr>
        <w:t>2</w:t>
      </w:r>
      <w:r w:rsidRPr="00D95E51">
        <w:rPr>
          <w:i/>
          <w:iCs/>
          <w:sz w:val="22"/>
          <w:szCs w:val="22"/>
        </w:rPr>
        <w:t>: so sánh cùng nhóm ở hai thời điểm trước và sau can thiệp, sử dụng kiểm định t-test ghép cặp.</w:t>
      </w:r>
    </w:p>
    <w:p w14:paraId="6A69E145" w14:textId="7C137142" w:rsidR="00506FFB" w:rsidRPr="00D95E51" w:rsidRDefault="00506FFB" w:rsidP="00506FFB">
      <w:pPr>
        <w:ind w:right="49" w:firstLine="567"/>
        <w:jc w:val="both"/>
        <w:rPr>
          <w:i/>
          <w:iCs/>
          <w:sz w:val="22"/>
          <w:szCs w:val="22"/>
          <w:lang w:val="it-IT"/>
        </w:rPr>
      </w:pPr>
      <w:r w:rsidRPr="00D95E51">
        <w:rPr>
          <w:sz w:val="22"/>
          <w:szCs w:val="22"/>
          <w:lang w:val="it-IT"/>
        </w:rPr>
        <w:lastRenderedPageBreak/>
        <w:t>So sánh sự khác biệt về thay đổi nồng độ Hb, giữa Trước can thiệp và sau can thiệp được trình bày trong Bảng 3.</w:t>
      </w:r>
      <w:r w:rsidR="00F45184">
        <w:rPr>
          <w:sz w:val="22"/>
          <w:szCs w:val="22"/>
          <w:lang w:val="it-IT"/>
        </w:rPr>
        <w:t>4</w:t>
      </w:r>
      <w:r w:rsidRPr="00D95E51">
        <w:rPr>
          <w:sz w:val="22"/>
          <w:szCs w:val="22"/>
          <w:lang w:val="it-IT"/>
        </w:rPr>
        <w:t>. Sau can thiệp, nồng độ Hb tăng lên ở cả 3 nhóm: nhóm chứng tăng trung bình 3,2 ± 12,7 g/L, khác biệt có YNTK so với trước can thiệp (p = 0,015); nhóm bổ sung kẽm tăng 3,4 ± 13,6 g/L, nhóm bổ sung sắt - kẽm tăng 2,6 ± 14,9 g/L, Chưa thấy sự khác biệt có YNTK so với trước can thiệp (p = 0,098).</w:t>
      </w:r>
      <w:bookmarkEnd w:id="24"/>
      <w:bookmarkEnd w:id="25"/>
      <w:r w:rsidRPr="00D95E51">
        <w:rPr>
          <w:sz w:val="22"/>
          <w:szCs w:val="22"/>
          <w:lang w:val="it-IT"/>
        </w:rPr>
        <w:t xml:space="preserve"> </w:t>
      </w:r>
    </w:p>
    <w:p w14:paraId="7AF403DB" w14:textId="612E39C9" w:rsidR="00984ED1" w:rsidRPr="00D95E51" w:rsidRDefault="007B4414" w:rsidP="008D4648">
      <w:pPr>
        <w:spacing w:before="120"/>
        <w:jc w:val="both"/>
        <w:rPr>
          <w:b/>
          <w:sz w:val="22"/>
          <w:szCs w:val="22"/>
          <w:lang w:val="it-IT"/>
        </w:rPr>
      </w:pPr>
      <w:r>
        <w:rPr>
          <w:b/>
          <w:sz w:val="22"/>
          <w:szCs w:val="22"/>
          <w:lang w:val="it-IT"/>
        </w:rPr>
        <w:t>3.2</w:t>
      </w:r>
      <w:r w:rsidR="00984ED1" w:rsidRPr="00D95E51">
        <w:rPr>
          <w:b/>
          <w:sz w:val="22"/>
          <w:szCs w:val="22"/>
          <w:lang w:val="it-IT"/>
        </w:rPr>
        <w:t>. Kết quả cải thiện tình trạng thiếu sắt sau 6 tháng can thiệp</w:t>
      </w:r>
    </w:p>
    <w:p w14:paraId="7E44E90F" w14:textId="7361B077" w:rsidR="00984ED1" w:rsidRPr="008D4648" w:rsidRDefault="00984ED1" w:rsidP="00A1659D">
      <w:pPr>
        <w:spacing w:before="120"/>
        <w:ind w:firstLine="426"/>
        <w:jc w:val="both"/>
        <w:rPr>
          <w:b/>
          <w:sz w:val="22"/>
          <w:szCs w:val="22"/>
          <w:lang w:val="it-IT"/>
        </w:rPr>
      </w:pPr>
      <w:r w:rsidRPr="008D4648">
        <w:rPr>
          <w:b/>
          <w:sz w:val="22"/>
          <w:szCs w:val="22"/>
          <w:lang w:val="it-IT"/>
        </w:rPr>
        <w:t xml:space="preserve">Bảng 3. </w:t>
      </w:r>
      <w:r w:rsidR="008D4648" w:rsidRPr="008D4648">
        <w:rPr>
          <w:b/>
          <w:sz w:val="22"/>
          <w:szCs w:val="22"/>
          <w:lang w:val="it-IT"/>
        </w:rPr>
        <w:t>5</w:t>
      </w:r>
      <w:r w:rsidRPr="008D4648">
        <w:rPr>
          <w:b/>
          <w:sz w:val="22"/>
          <w:szCs w:val="22"/>
          <w:lang w:val="it-IT"/>
        </w:rPr>
        <w:t>. Thay đổi nồng độ Ferritin huyết thanh của đối tượng nghiên cứu sau 6 tháng can thiệp</w:t>
      </w:r>
    </w:p>
    <w:tbl>
      <w:tblPr>
        <w:tblW w:w="6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388"/>
        <w:gridCol w:w="1349"/>
        <w:gridCol w:w="1352"/>
        <w:gridCol w:w="848"/>
      </w:tblGrid>
      <w:tr w:rsidR="00CA2948" w:rsidRPr="00D95E51" w14:paraId="4126D8BB" w14:textId="77777777" w:rsidTr="008D4648">
        <w:trPr>
          <w:trHeight w:val="377"/>
        </w:trPr>
        <w:tc>
          <w:tcPr>
            <w:tcW w:w="1404" w:type="dxa"/>
            <w:vMerge w:val="restart"/>
            <w:shd w:val="clear" w:color="auto" w:fill="auto"/>
          </w:tcPr>
          <w:p w14:paraId="34ADD212" w14:textId="77777777" w:rsidR="00CA2948" w:rsidRPr="00D95E51" w:rsidRDefault="00CA2948" w:rsidP="000606E3">
            <w:pPr>
              <w:spacing w:line="240" w:lineRule="exact"/>
              <w:ind w:right="51" w:firstLine="26"/>
              <w:jc w:val="both"/>
              <w:rPr>
                <w:sz w:val="22"/>
                <w:szCs w:val="22"/>
                <w:lang w:val="it-IT"/>
              </w:rPr>
            </w:pPr>
            <w:r w:rsidRPr="00D95E51">
              <w:rPr>
                <w:b/>
                <w:bCs/>
                <w:sz w:val="22"/>
                <w:szCs w:val="22"/>
              </w:rPr>
              <w:t>Nồng độ Ferritin huyết thanh (μg/L)</w:t>
            </w:r>
          </w:p>
        </w:tc>
        <w:tc>
          <w:tcPr>
            <w:tcW w:w="4089" w:type="dxa"/>
            <w:gridSpan w:val="3"/>
            <w:shd w:val="clear" w:color="auto" w:fill="auto"/>
          </w:tcPr>
          <w:p w14:paraId="0B60CC7E" w14:textId="77777777" w:rsidR="00CA2948" w:rsidRPr="00D95E51" w:rsidRDefault="00CA2948" w:rsidP="00765314">
            <w:pPr>
              <w:spacing w:line="240" w:lineRule="exact"/>
              <w:ind w:right="51" w:firstLine="26"/>
              <w:jc w:val="center"/>
              <w:rPr>
                <w:b/>
                <w:bCs/>
                <w:sz w:val="22"/>
                <w:szCs w:val="22"/>
              </w:rPr>
            </w:pPr>
            <w:r w:rsidRPr="00D95E51">
              <w:rPr>
                <w:b/>
                <w:bCs/>
                <w:sz w:val="22"/>
                <w:szCs w:val="22"/>
              </w:rPr>
              <w:t>Nhóm nghiên cứu</w:t>
            </w:r>
          </w:p>
        </w:tc>
        <w:tc>
          <w:tcPr>
            <w:tcW w:w="848" w:type="dxa"/>
            <w:vMerge w:val="restart"/>
            <w:shd w:val="clear" w:color="auto" w:fill="auto"/>
          </w:tcPr>
          <w:p w14:paraId="1B91A9FC" w14:textId="77777777" w:rsidR="00CA2948" w:rsidRPr="00D95E51" w:rsidRDefault="00CA2948" w:rsidP="00765314">
            <w:pPr>
              <w:spacing w:line="240" w:lineRule="exact"/>
              <w:ind w:right="51" w:firstLine="26"/>
              <w:jc w:val="center"/>
              <w:rPr>
                <w:sz w:val="22"/>
                <w:szCs w:val="22"/>
              </w:rPr>
            </w:pPr>
          </w:p>
          <w:p w14:paraId="3E32E278" w14:textId="77777777" w:rsidR="00CA2948" w:rsidRPr="00D95E51" w:rsidRDefault="00CA2948" w:rsidP="00765314">
            <w:pPr>
              <w:spacing w:line="240" w:lineRule="exact"/>
              <w:ind w:right="51" w:firstLine="26"/>
              <w:jc w:val="center"/>
              <w:rPr>
                <w:b/>
                <w:bCs/>
                <w:sz w:val="22"/>
                <w:szCs w:val="22"/>
                <w:vertAlign w:val="superscript"/>
              </w:rPr>
            </w:pPr>
            <w:r w:rsidRPr="00D95E51">
              <w:rPr>
                <w:b/>
                <w:bCs/>
                <w:sz w:val="22"/>
                <w:szCs w:val="22"/>
              </w:rPr>
              <w:t>p</w:t>
            </w:r>
          </w:p>
        </w:tc>
      </w:tr>
      <w:tr w:rsidR="00CA2948" w:rsidRPr="00D95E51" w14:paraId="56462B49" w14:textId="77777777" w:rsidTr="008D4648">
        <w:trPr>
          <w:trHeight w:val="774"/>
        </w:trPr>
        <w:tc>
          <w:tcPr>
            <w:tcW w:w="1404" w:type="dxa"/>
            <w:vMerge/>
            <w:shd w:val="clear" w:color="auto" w:fill="auto"/>
          </w:tcPr>
          <w:p w14:paraId="0A554E2F" w14:textId="77777777" w:rsidR="00CA2948" w:rsidRPr="00D95E51" w:rsidRDefault="00CA2948" w:rsidP="000606E3">
            <w:pPr>
              <w:spacing w:line="240" w:lineRule="exact"/>
              <w:ind w:right="51" w:firstLine="26"/>
              <w:jc w:val="both"/>
              <w:rPr>
                <w:sz w:val="22"/>
                <w:szCs w:val="22"/>
              </w:rPr>
            </w:pPr>
          </w:p>
        </w:tc>
        <w:tc>
          <w:tcPr>
            <w:tcW w:w="1388" w:type="dxa"/>
            <w:shd w:val="clear" w:color="auto" w:fill="auto"/>
          </w:tcPr>
          <w:p w14:paraId="05A52929" w14:textId="77777777" w:rsidR="00CA2948" w:rsidRPr="00D95E51" w:rsidRDefault="00CA2948" w:rsidP="00765314">
            <w:pPr>
              <w:spacing w:line="240" w:lineRule="exact"/>
              <w:ind w:right="51" w:firstLine="26"/>
              <w:jc w:val="center"/>
              <w:rPr>
                <w:sz w:val="22"/>
                <w:szCs w:val="22"/>
              </w:rPr>
            </w:pPr>
            <w:r w:rsidRPr="00D95E51">
              <w:rPr>
                <w:b/>
                <w:bCs/>
                <w:sz w:val="22"/>
                <w:szCs w:val="22"/>
              </w:rPr>
              <w:t>Nhóm chứng (n=99)</w:t>
            </w:r>
          </w:p>
        </w:tc>
        <w:tc>
          <w:tcPr>
            <w:tcW w:w="1349" w:type="dxa"/>
            <w:shd w:val="clear" w:color="auto" w:fill="auto"/>
          </w:tcPr>
          <w:p w14:paraId="2C28B355" w14:textId="77777777" w:rsidR="00CA2948" w:rsidRPr="00D95E51" w:rsidRDefault="00CA2948" w:rsidP="00765314">
            <w:pPr>
              <w:spacing w:line="240" w:lineRule="exact"/>
              <w:ind w:right="51" w:firstLine="26"/>
              <w:jc w:val="center"/>
              <w:rPr>
                <w:b/>
                <w:bCs/>
                <w:sz w:val="22"/>
                <w:szCs w:val="22"/>
              </w:rPr>
            </w:pPr>
            <w:r w:rsidRPr="00D95E51">
              <w:rPr>
                <w:b/>
                <w:bCs/>
                <w:sz w:val="22"/>
                <w:szCs w:val="22"/>
              </w:rPr>
              <w:t>Nhóm bổ sung kẽm (n=93)</w:t>
            </w:r>
          </w:p>
        </w:tc>
        <w:tc>
          <w:tcPr>
            <w:tcW w:w="1350" w:type="dxa"/>
            <w:shd w:val="clear" w:color="auto" w:fill="auto"/>
          </w:tcPr>
          <w:p w14:paraId="30748884" w14:textId="77777777" w:rsidR="00CA2948" w:rsidRPr="00D95E51" w:rsidRDefault="00CA2948" w:rsidP="00765314">
            <w:pPr>
              <w:spacing w:line="240" w:lineRule="exact"/>
              <w:ind w:right="51" w:firstLine="26"/>
              <w:jc w:val="center"/>
              <w:rPr>
                <w:b/>
                <w:bCs/>
                <w:sz w:val="22"/>
                <w:szCs w:val="22"/>
              </w:rPr>
            </w:pPr>
            <w:r w:rsidRPr="00D95E51">
              <w:rPr>
                <w:b/>
                <w:bCs/>
                <w:sz w:val="22"/>
                <w:szCs w:val="22"/>
              </w:rPr>
              <w:t>Nhóm bổ sung sắt-kẽm (n=97)</w:t>
            </w:r>
          </w:p>
        </w:tc>
        <w:tc>
          <w:tcPr>
            <w:tcW w:w="848" w:type="dxa"/>
            <w:vMerge/>
            <w:shd w:val="clear" w:color="auto" w:fill="auto"/>
          </w:tcPr>
          <w:p w14:paraId="01A5F21E" w14:textId="77777777" w:rsidR="00CA2948" w:rsidRPr="00D95E51" w:rsidRDefault="00CA2948" w:rsidP="00765314">
            <w:pPr>
              <w:spacing w:line="240" w:lineRule="exact"/>
              <w:ind w:right="51" w:firstLine="26"/>
              <w:jc w:val="center"/>
              <w:rPr>
                <w:sz w:val="22"/>
                <w:szCs w:val="22"/>
              </w:rPr>
            </w:pPr>
          </w:p>
        </w:tc>
      </w:tr>
      <w:tr w:rsidR="00CA2948" w:rsidRPr="00D95E51" w14:paraId="70DBE3D0" w14:textId="77777777" w:rsidTr="008D4648">
        <w:trPr>
          <w:trHeight w:val="377"/>
        </w:trPr>
        <w:tc>
          <w:tcPr>
            <w:tcW w:w="1404" w:type="dxa"/>
            <w:shd w:val="clear" w:color="auto" w:fill="auto"/>
          </w:tcPr>
          <w:p w14:paraId="5CF766D0" w14:textId="77777777" w:rsidR="00CA2948" w:rsidRPr="00D95E51" w:rsidRDefault="00CA2948" w:rsidP="002B6CD1">
            <w:pPr>
              <w:spacing w:line="276" w:lineRule="auto"/>
              <w:ind w:right="51" w:firstLine="26"/>
              <w:jc w:val="both"/>
              <w:rPr>
                <w:b/>
                <w:bCs/>
                <w:sz w:val="22"/>
                <w:szCs w:val="22"/>
              </w:rPr>
            </w:pPr>
            <w:bookmarkStart w:id="26" w:name="_Hlk133914385"/>
            <w:r w:rsidRPr="00D95E51">
              <w:rPr>
                <w:b/>
                <w:bCs/>
                <w:sz w:val="22"/>
                <w:szCs w:val="22"/>
              </w:rPr>
              <w:t>Trước CT</w:t>
            </w:r>
          </w:p>
        </w:tc>
        <w:tc>
          <w:tcPr>
            <w:tcW w:w="1388" w:type="dxa"/>
            <w:shd w:val="clear" w:color="auto" w:fill="auto"/>
          </w:tcPr>
          <w:p w14:paraId="1A300FF5" w14:textId="77777777" w:rsidR="00CA2948" w:rsidRPr="00D95E51" w:rsidRDefault="00CA2948" w:rsidP="002B6CD1">
            <w:pPr>
              <w:spacing w:line="276" w:lineRule="auto"/>
              <w:ind w:right="51" w:firstLine="26"/>
              <w:jc w:val="center"/>
              <w:rPr>
                <w:sz w:val="22"/>
                <w:szCs w:val="22"/>
              </w:rPr>
            </w:pPr>
            <w:r w:rsidRPr="00D95E51">
              <w:rPr>
                <w:sz w:val="22"/>
                <w:szCs w:val="22"/>
              </w:rPr>
              <w:t>27,8 ± 21,6</w:t>
            </w:r>
          </w:p>
        </w:tc>
        <w:tc>
          <w:tcPr>
            <w:tcW w:w="1349" w:type="dxa"/>
            <w:shd w:val="clear" w:color="auto" w:fill="auto"/>
          </w:tcPr>
          <w:p w14:paraId="40E0EE0A" w14:textId="77777777" w:rsidR="00CA2948" w:rsidRPr="00D95E51" w:rsidRDefault="00CA2948" w:rsidP="002B6CD1">
            <w:pPr>
              <w:spacing w:line="276" w:lineRule="auto"/>
              <w:ind w:right="51" w:firstLine="26"/>
              <w:jc w:val="center"/>
              <w:rPr>
                <w:sz w:val="22"/>
                <w:szCs w:val="22"/>
              </w:rPr>
            </w:pPr>
            <w:r w:rsidRPr="00D95E51">
              <w:rPr>
                <w:sz w:val="22"/>
                <w:szCs w:val="22"/>
              </w:rPr>
              <w:t>30,8 ± 24,2</w:t>
            </w:r>
          </w:p>
        </w:tc>
        <w:tc>
          <w:tcPr>
            <w:tcW w:w="1350" w:type="dxa"/>
            <w:shd w:val="clear" w:color="auto" w:fill="auto"/>
          </w:tcPr>
          <w:p w14:paraId="1018CCC7" w14:textId="77777777" w:rsidR="00CA2948" w:rsidRPr="00D95E51" w:rsidRDefault="00CA2948" w:rsidP="002B6CD1">
            <w:pPr>
              <w:spacing w:line="276" w:lineRule="auto"/>
              <w:ind w:right="51" w:firstLine="26"/>
              <w:jc w:val="center"/>
              <w:rPr>
                <w:sz w:val="22"/>
                <w:szCs w:val="22"/>
              </w:rPr>
            </w:pPr>
            <w:bookmarkStart w:id="27" w:name="_Hlk105855283"/>
            <w:r w:rsidRPr="00D95E51">
              <w:rPr>
                <w:sz w:val="22"/>
                <w:szCs w:val="22"/>
              </w:rPr>
              <w:t>26,4 ± 16,1</w:t>
            </w:r>
            <w:bookmarkEnd w:id="27"/>
          </w:p>
        </w:tc>
        <w:tc>
          <w:tcPr>
            <w:tcW w:w="848" w:type="dxa"/>
            <w:shd w:val="clear" w:color="auto" w:fill="auto"/>
          </w:tcPr>
          <w:p w14:paraId="2274AB49" w14:textId="77777777" w:rsidR="00CA2948" w:rsidRPr="00D95E51" w:rsidRDefault="00CA2948" w:rsidP="002B6CD1">
            <w:pPr>
              <w:spacing w:line="276" w:lineRule="auto"/>
              <w:ind w:right="51" w:firstLine="26"/>
              <w:jc w:val="center"/>
              <w:rPr>
                <w:sz w:val="22"/>
                <w:szCs w:val="22"/>
              </w:rPr>
            </w:pPr>
            <w:r w:rsidRPr="00D95E51">
              <w:rPr>
                <w:sz w:val="22"/>
                <w:szCs w:val="22"/>
              </w:rPr>
              <w:t>0,767</w:t>
            </w:r>
          </w:p>
        </w:tc>
      </w:tr>
      <w:tr w:rsidR="00CA2948" w:rsidRPr="00D95E51" w14:paraId="57B406CD" w14:textId="77777777" w:rsidTr="008D4648">
        <w:trPr>
          <w:trHeight w:val="377"/>
        </w:trPr>
        <w:tc>
          <w:tcPr>
            <w:tcW w:w="1404" w:type="dxa"/>
            <w:shd w:val="clear" w:color="auto" w:fill="auto"/>
          </w:tcPr>
          <w:p w14:paraId="3EBF89AA" w14:textId="77777777" w:rsidR="00CA2948" w:rsidRPr="00D95E51" w:rsidRDefault="00CA2948" w:rsidP="002B6CD1">
            <w:pPr>
              <w:spacing w:line="276" w:lineRule="auto"/>
              <w:ind w:right="51" w:firstLine="26"/>
              <w:jc w:val="both"/>
              <w:rPr>
                <w:b/>
                <w:bCs/>
                <w:sz w:val="22"/>
                <w:szCs w:val="22"/>
              </w:rPr>
            </w:pPr>
            <w:r w:rsidRPr="00D95E51">
              <w:rPr>
                <w:b/>
                <w:bCs/>
                <w:sz w:val="22"/>
                <w:szCs w:val="22"/>
              </w:rPr>
              <w:t xml:space="preserve">Sau CT </w:t>
            </w:r>
          </w:p>
        </w:tc>
        <w:tc>
          <w:tcPr>
            <w:tcW w:w="1388" w:type="dxa"/>
            <w:shd w:val="clear" w:color="auto" w:fill="auto"/>
          </w:tcPr>
          <w:p w14:paraId="55111633" w14:textId="77777777" w:rsidR="00CA2948" w:rsidRPr="00D95E51" w:rsidRDefault="00CA2948" w:rsidP="002B6CD1">
            <w:pPr>
              <w:spacing w:line="276" w:lineRule="auto"/>
              <w:ind w:right="51" w:firstLine="26"/>
              <w:jc w:val="center"/>
              <w:rPr>
                <w:sz w:val="22"/>
                <w:szCs w:val="22"/>
              </w:rPr>
            </w:pPr>
            <w:r w:rsidRPr="00D95E51">
              <w:rPr>
                <w:sz w:val="22"/>
                <w:szCs w:val="22"/>
              </w:rPr>
              <w:t>43,8 ± 32,7</w:t>
            </w:r>
          </w:p>
        </w:tc>
        <w:tc>
          <w:tcPr>
            <w:tcW w:w="1349" w:type="dxa"/>
            <w:shd w:val="clear" w:color="auto" w:fill="auto"/>
          </w:tcPr>
          <w:p w14:paraId="0B8D7B65" w14:textId="77777777" w:rsidR="00CA2948" w:rsidRPr="00D95E51" w:rsidRDefault="00CA2948" w:rsidP="002B6CD1">
            <w:pPr>
              <w:spacing w:line="276" w:lineRule="auto"/>
              <w:ind w:right="51" w:firstLine="26"/>
              <w:jc w:val="center"/>
              <w:rPr>
                <w:sz w:val="22"/>
                <w:szCs w:val="22"/>
              </w:rPr>
            </w:pPr>
            <w:r w:rsidRPr="00D95E51">
              <w:rPr>
                <w:sz w:val="22"/>
                <w:szCs w:val="22"/>
              </w:rPr>
              <w:t>40,2 ± 29,0</w:t>
            </w:r>
          </w:p>
        </w:tc>
        <w:tc>
          <w:tcPr>
            <w:tcW w:w="1350" w:type="dxa"/>
            <w:shd w:val="clear" w:color="auto" w:fill="auto"/>
          </w:tcPr>
          <w:p w14:paraId="4DC39580" w14:textId="77777777" w:rsidR="00CA2948" w:rsidRPr="00D95E51" w:rsidRDefault="00CA2948" w:rsidP="002B6CD1">
            <w:pPr>
              <w:spacing w:line="276" w:lineRule="auto"/>
              <w:ind w:right="51" w:firstLine="26"/>
              <w:jc w:val="center"/>
              <w:rPr>
                <w:sz w:val="22"/>
                <w:szCs w:val="22"/>
              </w:rPr>
            </w:pPr>
            <w:r w:rsidRPr="00D95E51">
              <w:rPr>
                <w:sz w:val="22"/>
                <w:szCs w:val="22"/>
              </w:rPr>
              <w:t>50,9 ± 38,9</w:t>
            </w:r>
          </w:p>
        </w:tc>
        <w:tc>
          <w:tcPr>
            <w:tcW w:w="848" w:type="dxa"/>
            <w:shd w:val="clear" w:color="auto" w:fill="auto"/>
          </w:tcPr>
          <w:p w14:paraId="634B3819" w14:textId="77777777" w:rsidR="00CA2948" w:rsidRPr="00D95E51" w:rsidRDefault="00CA2948" w:rsidP="002B6CD1">
            <w:pPr>
              <w:spacing w:line="276" w:lineRule="auto"/>
              <w:ind w:right="51" w:firstLine="26"/>
              <w:jc w:val="center"/>
              <w:rPr>
                <w:b/>
                <w:bCs/>
                <w:sz w:val="22"/>
                <w:szCs w:val="22"/>
              </w:rPr>
            </w:pPr>
            <w:r w:rsidRPr="00D95E51">
              <w:rPr>
                <w:b/>
                <w:bCs/>
                <w:sz w:val="22"/>
                <w:szCs w:val="22"/>
              </w:rPr>
              <w:t>0,017</w:t>
            </w:r>
          </w:p>
        </w:tc>
      </w:tr>
      <w:bookmarkEnd w:id="26"/>
      <w:tr w:rsidR="00CA2948" w:rsidRPr="00D95E51" w14:paraId="0E6C7C66" w14:textId="77777777" w:rsidTr="008D4648">
        <w:trPr>
          <w:trHeight w:val="377"/>
        </w:trPr>
        <w:tc>
          <w:tcPr>
            <w:tcW w:w="1404" w:type="dxa"/>
            <w:shd w:val="clear" w:color="auto" w:fill="auto"/>
          </w:tcPr>
          <w:p w14:paraId="3075B9A5" w14:textId="77777777" w:rsidR="00CA2948" w:rsidRPr="00D95E51" w:rsidRDefault="00CA2948" w:rsidP="002B6CD1">
            <w:pPr>
              <w:spacing w:line="276" w:lineRule="auto"/>
              <w:ind w:right="51" w:firstLine="26"/>
              <w:jc w:val="both"/>
              <w:rPr>
                <w:b/>
                <w:bCs/>
                <w:sz w:val="22"/>
                <w:szCs w:val="22"/>
              </w:rPr>
            </w:pPr>
            <w:r w:rsidRPr="00D95E51">
              <w:rPr>
                <w:b/>
                <w:bCs/>
                <w:sz w:val="22"/>
                <w:szCs w:val="22"/>
              </w:rPr>
              <w:t>Thay đổi</w:t>
            </w:r>
          </w:p>
        </w:tc>
        <w:tc>
          <w:tcPr>
            <w:tcW w:w="1388" w:type="dxa"/>
            <w:shd w:val="clear" w:color="auto" w:fill="auto"/>
          </w:tcPr>
          <w:p w14:paraId="2F5FBA3F" w14:textId="77777777" w:rsidR="00CA2948" w:rsidRPr="00D95E51" w:rsidRDefault="00CA2948" w:rsidP="002B6CD1">
            <w:pPr>
              <w:spacing w:line="276" w:lineRule="auto"/>
              <w:ind w:right="51" w:firstLine="26"/>
              <w:jc w:val="center"/>
              <w:rPr>
                <w:sz w:val="22"/>
                <w:szCs w:val="22"/>
              </w:rPr>
            </w:pPr>
            <w:r w:rsidRPr="00D95E51">
              <w:rPr>
                <w:sz w:val="22"/>
                <w:szCs w:val="22"/>
              </w:rPr>
              <w:t>16,1 ± 31,3</w:t>
            </w:r>
          </w:p>
        </w:tc>
        <w:tc>
          <w:tcPr>
            <w:tcW w:w="1349" w:type="dxa"/>
            <w:shd w:val="clear" w:color="auto" w:fill="auto"/>
          </w:tcPr>
          <w:p w14:paraId="0678CB6C" w14:textId="77777777" w:rsidR="00CA2948" w:rsidRPr="00D95E51" w:rsidRDefault="00CA2948" w:rsidP="002B6CD1">
            <w:pPr>
              <w:spacing w:line="276" w:lineRule="auto"/>
              <w:ind w:right="51" w:firstLine="26"/>
              <w:jc w:val="center"/>
              <w:rPr>
                <w:sz w:val="22"/>
                <w:szCs w:val="22"/>
              </w:rPr>
            </w:pPr>
            <w:r w:rsidRPr="00D95E51">
              <w:rPr>
                <w:sz w:val="22"/>
                <w:szCs w:val="22"/>
              </w:rPr>
              <w:t>9,4 ± 24,6</w:t>
            </w:r>
          </w:p>
        </w:tc>
        <w:tc>
          <w:tcPr>
            <w:tcW w:w="1350" w:type="dxa"/>
            <w:shd w:val="clear" w:color="auto" w:fill="auto"/>
          </w:tcPr>
          <w:p w14:paraId="63209B1D" w14:textId="77777777" w:rsidR="00CA2948" w:rsidRPr="00D95E51" w:rsidRDefault="00CA2948" w:rsidP="002B6CD1">
            <w:pPr>
              <w:spacing w:line="276" w:lineRule="auto"/>
              <w:ind w:right="51" w:firstLine="26"/>
              <w:jc w:val="center"/>
              <w:rPr>
                <w:sz w:val="22"/>
                <w:szCs w:val="22"/>
              </w:rPr>
            </w:pPr>
            <w:r w:rsidRPr="00D95E51">
              <w:rPr>
                <w:sz w:val="22"/>
                <w:szCs w:val="22"/>
              </w:rPr>
              <w:t>24,5 ± 37,9</w:t>
            </w:r>
          </w:p>
        </w:tc>
        <w:tc>
          <w:tcPr>
            <w:tcW w:w="848" w:type="dxa"/>
            <w:shd w:val="clear" w:color="auto" w:fill="auto"/>
          </w:tcPr>
          <w:p w14:paraId="74EBA02B" w14:textId="77777777" w:rsidR="00CA2948" w:rsidRPr="00D95E51" w:rsidRDefault="00CA2948" w:rsidP="002B6CD1">
            <w:pPr>
              <w:spacing w:line="276" w:lineRule="auto"/>
              <w:ind w:right="51" w:firstLine="26"/>
              <w:jc w:val="center"/>
              <w:rPr>
                <w:b/>
                <w:sz w:val="22"/>
                <w:szCs w:val="22"/>
              </w:rPr>
            </w:pPr>
            <w:r w:rsidRPr="00D95E51">
              <w:rPr>
                <w:b/>
                <w:sz w:val="22"/>
                <w:szCs w:val="22"/>
              </w:rPr>
              <w:t>0,001</w:t>
            </w:r>
          </w:p>
        </w:tc>
      </w:tr>
      <w:tr w:rsidR="00CA2948" w:rsidRPr="00D95E51" w14:paraId="78BF4C94" w14:textId="77777777" w:rsidTr="008D4648">
        <w:trPr>
          <w:trHeight w:val="377"/>
        </w:trPr>
        <w:tc>
          <w:tcPr>
            <w:tcW w:w="1404" w:type="dxa"/>
            <w:shd w:val="clear" w:color="auto" w:fill="auto"/>
          </w:tcPr>
          <w:p w14:paraId="72ED0262" w14:textId="77777777" w:rsidR="00CA2948" w:rsidRPr="00D95E51" w:rsidRDefault="00CA2948" w:rsidP="002B6CD1">
            <w:pPr>
              <w:spacing w:line="276" w:lineRule="auto"/>
              <w:ind w:right="51" w:firstLine="26"/>
              <w:jc w:val="both"/>
              <w:rPr>
                <w:b/>
                <w:bCs/>
                <w:sz w:val="22"/>
                <w:szCs w:val="22"/>
                <w:vertAlign w:val="superscript"/>
              </w:rPr>
            </w:pPr>
            <w:r w:rsidRPr="00D95E51">
              <w:rPr>
                <w:b/>
                <w:bCs/>
                <w:sz w:val="22"/>
                <w:szCs w:val="22"/>
              </w:rPr>
              <w:t>p</w:t>
            </w:r>
            <w:r w:rsidRPr="00D95E51">
              <w:rPr>
                <w:b/>
                <w:bCs/>
                <w:sz w:val="22"/>
                <w:szCs w:val="22"/>
                <w:vertAlign w:val="superscript"/>
              </w:rPr>
              <w:t>2</w:t>
            </w:r>
          </w:p>
        </w:tc>
        <w:tc>
          <w:tcPr>
            <w:tcW w:w="1388" w:type="dxa"/>
            <w:shd w:val="clear" w:color="auto" w:fill="auto"/>
          </w:tcPr>
          <w:p w14:paraId="098165B0" w14:textId="77777777" w:rsidR="00CA2948" w:rsidRPr="00D95E51" w:rsidRDefault="00CA2948" w:rsidP="002B6CD1">
            <w:pPr>
              <w:spacing w:line="276" w:lineRule="auto"/>
              <w:ind w:right="51" w:firstLine="26"/>
              <w:jc w:val="center"/>
              <w:rPr>
                <w:b/>
                <w:sz w:val="22"/>
                <w:szCs w:val="22"/>
              </w:rPr>
            </w:pPr>
            <w:r w:rsidRPr="00D95E51">
              <w:rPr>
                <w:b/>
                <w:sz w:val="22"/>
                <w:szCs w:val="22"/>
              </w:rPr>
              <w:t>0,001</w:t>
            </w:r>
          </w:p>
        </w:tc>
        <w:tc>
          <w:tcPr>
            <w:tcW w:w="1349" w:type="dxa"/>
            <w:shd w:val="clear" w:color="auto" w:fill="auto"/>
          </w:tcPr>
          <w:p w14:paraId="4426BC9F" w14:textId="77777777" w:rsidR="00CA2948" w:rsidRPr="00D95E51" w:rsidRDefault="00CA2948" w:rsidP="002B6CD1">
            <w:pPr>
              <w:spacing w:line="276" w:lineRule="auto"/>
              <w:ind w:right="51" w:firstLine="26"/>
              <w:jc w:val="center"/>
              <w:rPr>
                <w:b/>
                <w:sz w:val="22"/>
                <w:szCs w:val="22"/>
              </w:rPr>
            </w:pPr>
            <w:r w:rsidRPr="00D95E51">
              <w:rPr>
                <w:b/>
                <w:sz w:val="22"/>
                <w:szCs w:val="22"/>
              </w:rPr>
              <w:t>0,001</w:t>
            </w:r>
          </w:p>
        </w:tc>
        <w:tc>
          <w:tcPr>
            <w:tcW w:w="1350" w:type="dxa"/>
            <w:shd w:val="clear" w:color="auto" w:fill="auto"/>
          </w:tcPr>
          <w:p w14:paraId="1D1EF5A2" w14:textId="77777777" w:rsidR="00CA2948" w:rsidRPr="00D95E51" w:rsidRDefault="00CA2948" w:rsidP="002B6CD1">
            <w:pPr>
              <w:spacing w:line="276" w:lineRule="auto"/>
              <w:ind w:right="51" w:firstLine="26"/>
              <w:jc w:val="center"/>
              <w:rPr>
                <w:b/>
                <w:sz w:val="22"/>
                <w:szCs w:val="22"/>
              </w:rPr>
            </w:pPr>
            <w:r w:rsidRPr="00D95E51">
              <w:rPr>
                <w:b/>
                <w:sz w:val="22"/>
                <w:szCs w:val="22"/>
              </w:rPr>
              <w:t>0,001</w:t>
            </w:r>
          </w:p>
        </w:tc>
        <w:tc>
          <w:tcPr>
            <w:tcW w:w="848" w:type="dxa"/>
            <w:shd w:val="clear" w:color="auto" w:fill="auto"/>
          </w:tcPr>
          <w:p w14:paraId="47C20179" w14:textId="77777777" w:rsidR="00CA2948" w:rsidRPr="00D95E51" w:rsidRDefault="00CA2948" w:rsidP="002B6CD1">
            <w:pPr>
              <w:spacing w:line="276" w:lineRule="auto"/>
              <w:ind w:right="51" w:firstLine="26"/>
              <w:jc w:val="both"/>
              <w:rPr>
                <w:b/>
                <w:sz w:val="22"/>
                <w:szCs w:val="22"/>
              </w:rPr>
            </w:pPr>
          </w:p>
        </w:tc>
      </w:tr>
    </w:tbl>
    <w:p w14:paraId="5DE9D0DC" w14:textId="77777777" w:rsidR="00984ED1" w:rsidRPr="00D95E51" w:rsidRDefault="00984ED1" w:rsidP="00A1659D">
      <w:pPr>
        <w:spacing w:line="280" w:lineRule="exact"/>
        <w:ind w:firstLine="426"/>
        <w:jc w:val="both"/>
        <w:rPr>
          <w:i/>
          <w:sz w:val="22"/>
          <w:szCs w:val="22"/>
        </w:rPr>
      </w:pPr>
      <w:r w:rsidRPr="00D95E51">
        <w:rPr>
          <w:i/>
          <w:sz w:val="22"/>
          <w:szCs w:val="22"/>
        </w:rPr>
        <w:t>p1: so sánh 2 nhóm can thiệp và nhóm đối chứng cùng ở cùng thời điểm, sử dụng kiểm định ANOVA Test.</w:t>
      </w:r>
    </w:p>
    <w:p w14:paraId="6DFE74F1" w14:textId="77777777" w:rsidR="00984ED1" w:rsidRPr="00D95E51" w:rsidRDefault="00984ED1" w:rsidP="00A1659D">
      <w:pPr>
        <w:spacing w:line="280" w:lineRule="exact"/>
        <w:ind w:firstLine="426"/>
        <w:jc w:val="both"/>
        <w:rPr>
          <w:i/>
          <w:sz w:val="22"/>
          <w:szCs w:val="22"/>
        </w:rPr>
      </w:pPr>
      <w:r w:rsidRPr="00D95E51">
        <w:rPr>
          <w:i/>
          <w:sz w:val="22"/>
          <w:szCs w:val="22"/>
        </w:rPr>
        <w:t>p2: so sánh cùng nhóm ở hai thời điểm trước và sau can thiệp, sử dụng kiểm định paired t-test.</w:t>
      </w:r>
    </w:p>
    <w:p w14:paraId="55D92667" w14:textId="77777777" w:rsidR="00984ED1" w:rsidRPr="00D95E51" w:rsidRDefault="00984ED1" w:rsidP="00A1659D">
      <w:pPr>
        <w:spacing w:line="280" w:lineRule="exact"/>
        <w:ind w:firstLine="426"/>
        <w:jc w:val="both"/>
        <w:rPr>
          <w:sz w:val="22"/>
          <w:szCs w:val="22"/>
        </w:rPr>
      </w:pPr>
      <w:r w:rsidRPr="00D95E51">
        <w:rPr>
          <w:sz w:val="22"/>
          <w:szCs w:val="22"/>
        </w:rPr>
        <w:t>So sánh sự khác biệt về thay đổi nồng độ Ferritin huyết thanh trước can thiệp</w:t>
      </w:r>
      <w:r w:rsidR="00CA2948" w:rsidRPr="00D95E51">
        <w:rPr>
          <w:sz w:val="22"/>
          <w:szCs w:val="22"/>
        </w:rPr>
        <w:t xml:space="preserve"> v</w:t>
      </w:r>
      <w:r w:rsidRPr="00D95E51">
        <w:rPr>
          <w:sz w:val="22"/>
          <w:szCs w:val="22"/>
        </w:rPr>
        <w:t xml:space="preserve">à sau can thiệp được trình bày trong Bảng 3.24. Sau can thiệp, nồng độ Ferritin huyết thanh tăng lên ở cả 3 nhóm: nhóm chứng tăng trung bình 16,1 ± 31,3 µg/L, khác biệt có YNTK so với trước can thiệp (p = 0,001); nhóm bổ sung kẽm tăng 9,4 ± 24,6 µg/L, khác biệt YNTK so với trước can thiệp (p = 0,001), nhóm bổ sung sắt-kẽm tăng 24,5 ± 37,9 µg/L, sự khác biệt YNTK so với trước can thiệp (p = 0,001). </w:t>
      </w:r>
    </w:p>
    <w:p w14:paraId="06A32A25" w14:textId="6D5A5E33" w:rsidR="00984ED1" w:rsidRPr="00FE11E2" w:rsidRDefault="00984ED1" w:rsidP="00A1659D">
      <w:pPr>
        <w:spacing w:before="120"/>
        <w:ind w:firstLine="426"/>
        <w:jc w:val="both"/>
        <w:rPr>
          <w:b/>
          <w:sz w:val="22"/>
          <w:szCs w:val="22"/>
        </w:rPr>
      </w:pPr>
      <w:r w:rsidRPr="00FE11E2">
        <w:rPr>
          <w:b/>
          <w:sz w:val="22"/>
          <w:szCs w:val="22"/>
        </w:rPr>
        <w:lastRenderedPageBreak/>
        <w:t xml:space="preserve">Bảng 3. </w:t>
      </w:r>
      <w:r w:rsidR="008D4648" w:rsidRPr="00FE11E2">
        <w:rPr>
          <w:b/>
          <w:sz w:val="22"/>
          <w:szCs w:val="22"/>
        </w:rPr>
        <w:t>6</w:t>
      </w:r>
      <w:r w:rsidRPr="00FE11E2">
        <w:rPr>
          <w:b/>
          <w:sz w:val="22"/>
          <w:szCs w:val="22"/>
        </w:rPr>
        <w:t>. Thay đổi tỷ lệ thiếu sắt của đối tượng nghiên cứu sau 6 tháng can thiệp</w:t>
      </w:r>
    </w:p>
    <w:tbl>
      <w:tblPr>
        <w:tblW w:w="6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1206"/>
        <w:gridCol w:w="1224"/>
        <w:gridCol w:w="1383"/>
        <w:gridCol w:w="789"/>
      </w:tblGrid>
      <w:tr w:rsidR="00740E42" w:rsidRPr="00D95E51" w14:paraId="1CF2D188" w14:textId="77777777" w:rsidTr="008D4648">
        <w:trPr>
          <w:trHeight w:val="305"/>
        </w:trPr>
        <w:tc>
          <w:tcPr>
            <w:tcW w:w="1529" w:type="dxa"/>
            <w:vMerge w:val="restart"/>
            <w:shd w:val="clear" w:color="auto" w:fill="auto"/>
          </w:tcPr>
          <w:p w14:paraId="3C94700F" w14:textId="77777777" w:rsidR="00740E42" w:rsidRPr="00D95E51" w:rsidRDefault="00740E42" w:rsidP="000606E3">
            <w:pPr>
              <w:spacing w:line="240" w:lineRule="exact"/>
              <w:ind w:right="51" w:firstLine="26"/>
              <w:jc w:val="both"/>
              <w:rPr>
                <w:b/>
                <w:bCs/>
                <w:sz w:val="22"/>
                <w:szCs w:val="22"/>
                <w:lang w:val="it-IT"/>
              </w:rPr>
            </w:pPr>
          </w:p>
          <w:p w14:paraId="259BC625" w14:textId="77777777" w:rsidR="00740E42" w:rsidRPr="00D95E51" w:rsidRDefault="00740E42" w:rsidP="000606E3">
            <w:pPr>
              <w:spacing w:line="240" w:lineRule="exact"/>
              <w:ind w:right="51" w:firstLine="26"/>
              <w:jc w:val="both"/>
              <w:rPr>
                <w:b/>
                <w:bCs/>
                <w:sz w:val="22"/>
                <w:szCs w:val="22"/>
                <w:lang w:val="it-IT"/>
              </w:rPr>
            </w:pPr>
            <w:r w:rsidRPr="00D95E51">
              <w:rPr>
                <w:b/>
                <w:bCs/>
                <w:sz w:val="22"/>
                <w:szCs w:val="22"/>
              </w:rPr>
              <w:t>Tỷ lệ thiếu sắt (%)</w:t>
            </w:r>
          </w:p>
        </w:tc>
        <w:tc>
          <w:tcPr>
            <w:tcW w:w="3816" w:type="dxa"/>
            <w:gridSpan w:val="3"/>
            <w:shd w:val="clear" w:color="auto" w:fill="auto"/>
          </w:tcPr>
          <w:p w14:paraId="640D32FC" w14:textId="77777777" w:rsidR="00740E42" w:rsidRPr="00D95E51" w:rsidRDefault="00740E42" w:rsidP="000606E3">
            <w:pPr>
              <w:spacing w:line="240" w:lineRule="exact"/>
              <w:ind w:right="51" w:firstLine="26"/>
              <w:jc w:val="both"/>
              <w:rPr>
                <w:b/>
                <w:bCs/>
                <w:sz w:val="22"/>
                <w:szCs w:val="22"/>
              </w:rPr>
            </w:pPr>
            <w:r w:rsidRPr="00D95E51">
              <w:rPr>
                <w:b/>
                <w:bCs/>
                <w:sz w:val="22"/>
                <w:szCs w:val="22"/>
              </w:rPr>
              <w:t>Nhóm nghiên cứu</w:t>
            </w:r>
          </w:p>
        </w:tc>
        <w:tc>
          <w:tcPr>
            <w:tcW w:w="786" w:type="dxa"/>
            <w:vMerge w:val="restart"/>
            <w:shd w:val="clear" w:color="auto" w:fill="auto"/>
            <w:vAlign w:val="center"/>
          </w:tcPr>
          <w:p w14:paraId="6969DA91" w14:textId="77777777" w:rsidR="00740E42" w:rsidRPr="00D95E51" w:rsidRDefault="00740E42" w:rsidP="000606E3">
            <w:pPr>
              <w:spacing w:line="240" w:lineRule="exact"/>
              <w:ind w:right="51" w:firstLine="26"/>
              <w:jc w:val="both"/>
              <w:rPr>
                <w:b/>
                <w:bCs/>
                <w:sz w:val="22"/>
                <w:szCs w:val="22"/>
              </w:rPr>
            </w:pPr>
            <w:r w:rsidRPr="00D95E51">
              <w:rPr>
                <w:b/>
                <w:bCs/>
                <w:sz w:val="22"/>
                <w:szCs w:val="22"/>
              </w:rPr>
              <w:t>p1</w:t>
            </w:r>
          </w:p>
        </w:tc>
      </w:tr>
      <w:tr w:rsidR="00740E42" w:rsidRPr="00D95E51" w14:paraId="405201D7" w14:textId="77777777" w:rsidTr="008D4648">
        <w:trPr>
          <w:trHeight w:val="626"/>
        </w:trPr>
        <w:tc>
          <w:tcPr>
            <w:tcW w:w="1529" w:type="dxa"/>
            <w:vMerge/>
            <w:shd w:val="clear" w:color="auto" w:fill="auto"/>
          </w:tcPr>
          <w:p w14:paraId="2A5D149E" w14:textId="77777777" w:rsidR="00740E42" w:rsidRPr="00D95E51" w:rsidRDefault="00740E42" w:rsidP="000606E3">
            <w:pPr>
              <w:spacing w:line="240" w:lineRule="exact"/>
              <w:ind w:right="51" w:firstLine="26"/>
              <w:jc w:val="both"/>
              <w:rPr>
                <w:b/>
                <w:bCs/>
                <w:sz w:val="22"/>
                <w:szCs w:val="22"/>
              </w:rPr>
            </w:pPr>
          </w:p>
        </w:tc>
        <w:tc>
          <w:tcPr>
            <w:tcW w:w="1207" w:type="dxa"/>
            <w:shd w:val="clear" w:color="auto" w:fill="auto"/>
          </w:tcPr>
          <w:p w14:paraId="4FECAC71" w14:textId="77777777" w:rsidR="00740E42" w:rsidRPr="00D95E51" w:rsidRDefault="00740E42" w:rsidP="000606E3">
            <w:pPr>
              <w:spacing w:line="240" w:lineRule="exact"/>
              <w:ind w:right="51" w:firstLine="26"/>
              <w:jc w:val="both"/>
              <w:rPr>
                <w:b/>
                <w:bCs/>
                <w:sz w:val="22"/>
                <w:szCs w:val="22"/>
              </w:rPr>
            </w:pPr>
            <w:r w:rsidRPr="00D95E51">
              <w:rPr>
                <w:b/>
                <w:bCs/>
                <w:sz w:val="22"/>
                <w:szCs w:val="22"/>
              </w:rPr>
              <w:t>Nhóm chứng (n=99)</w:t>
            </w:r>
          </w:p>
        </w:tc>
        <w:tc>
          <w:tcPr>
            <w:tcW w:w="1225" w:type="dxa"/>
            <w:shd w:val="clear" w:color="auto" w:fill="auto"/>
          </w:tcPr>
          <w:p w14:paraId="45A049FC" w14:textId="77777777" w:rsidR="00740E42" w:rsidRPr="00D95E51" w:rsidRDefault="00740E42" w:rsidP="000606E3">
            <w:pPr>
              <w:spacing w:line="240" w:lineRule="exact"/>
              <w:ind w:right="51" w:firstLine="26"/>
              <w:jc w:val="both"/>
              <w:rPr>
                <w:b/>
                <w:bCs/>
                <w:sz w:val="22"/>
                <w:szCs w:val="22"/>
              </w:rPr>
            </w:pPr>
            <w:r w:rsidRPr="00D95E51">
              <w:rPr>
                <w:b/>
                <w:bCs/>
                <w:sz w:val="22"/>
                <w:szCs w:val="22"/>
              </w:rPr>
              <w:t xml:space="preserve">Nhóm </w:t>
            </w:r>
            <w:bookmarkStart w:id="28" w:name="_Hlk105854567"/>
            <w:r w:rsidRPr="00D95E51">
              <w:rPr>
                <w:b/>
                <w:bCs/>
                <w:sz w:val="22"/>
                <w:szCs w:val="22"/>
              </w:rPr>
              <w:t xml:space="preserve">bổ sung </w:t>
            </w:r>
            <w:bookmarkEnd w:id="28"/>
            <w:r w:rsidRPr="00D95E51">
              <w:rPr>
                <w:b/>
                <w:bCs/>
                <w:sz w:val="22"/>
                <w:szCs w:val="22"/>
              </w:rPr>
              <w:t>kẽm (n=93)</w:t>
            </w:r>
          </w:p>
        </w:tc>
        <w:tc>
          <w:tcPr>
            <w:tcW w:w="1383" w:type="dxa"/>
            <w:shd w:val="clear" w:color="auto" w:fill="auto"/>
          </w:tcPr>
          <w:p w14:paraId="314327B5" w14:textId="77777777" w:rsidR="00740E42" w:rsidRPr="00D95E51" w:rsidRDefault="00740E42" w:rsidP="000606E3">
            <w:pPr>
              <w:spacing w:line="240" w:lineRule="exact"/>
              <w:ind w:right="51" w:firstLine="26"/>
              <w:jc w:val="both"/>
              <w:rPr>
                <w:b/>
                <w:bCs/>
                <w:sz w:val="22"/>
                <w:szCs w:val="22"/>
              </w:rPr>
            </w:pPr>
            <w:r w:rsidRPr="00D95E51">
              <w:rPr>
                <w:b/>
                <w:bCs/>
                <w:sz w:val="22"/>
                <w:szCs w:val="22"/>
              </w:rPr>
              <w:t>Nhóm bổ sung sắt-kẽm (n=97)</w:t>
            </w:r>
          </w:p>
        </w:tc>
        <w:tc>
          <w:tcPr>
            <w:tcW w:w="786" w:type="dxa"/>
            <w:vMerge/>
            <w:shd w:val="clear" w:color="auto" w:fill="auto"/>
          </w:tcPr>
          <w:p w14:paraId="78571874" w14:textId="77777777" w:rsidR="00740E42" w:rsidRPr="00D95E51" w:rsidRDefault="00740E42" w:rsidP="000606E3">
            <w:pPr>
              <w:spacing w:line="240" w:lineRule="exact"/>
              <w:ind w:right="51" w:firstLine="26"/>
              <w:jc w:val="both"/>
              <w:rPr>
                <w:b/>
                <w:bCs/>
                <w:sz w:val="22"/>
                <w:szCs w:val="22"/>
              </w:rPr>
            </w:pPr>
          </w:p>
        </w:tc>
      </w:tr>
      <w:tr w:rsidR="00740E42" w:rsidRPr="00D95E51" w14:paraId="2FBC1239" w14:textId="77777777" w:rsidTr="008D4648">
        <w:trPr>
          <w:trHeight w:val="305"/>
        </w:trPr>
        <w:tc>
          <w:tcPr>
            <w:tcW w:w="1529" w:type="dxa"/>
            <w:shd w:val="clear" w:color="auto" w:fill="auto"/>
          </w:tcPr>
          <w:p w14:paraId="251D7DEF" w14:textId="77777777" w:rsidR="00740E42" w:rsidRPr="00D95E51" w:rsidRDefault="00740E42" w:rsidP="000606E3">
            <w:pPr>
              <w:spacing w:line="240" w:lineRule="exact"/>
              <w:ind w:right="51" w:firstLine="26"/>
              <w:jc w:val="both"/>
              <w:rPr>
                <w:b/>
                <w:bCs/>
                <w:sz w:val="22"/>
                <w:szCs w:val="22"/>
              </w:rPr>
            </w:pPr>
            <w:r w:rsidRPr="00D95E51">
              <w:rPr>
                <w:b/>
                <w:bCs/>
                <w:sz w:val="22"/>
                <w:szCs w:val="22"/>
              </w:rPr>
              <w:t>Trước CT</w:t>
            </w:r>
          </w:p>
        </w:tc>
        <w:tc>
          <w:tcPr>
            <w:tcW w:w="1207" w:type="dxa"/>
            <w:shd w:val="clear" w:color="auto" w:fill="auto"/>
          </w:tcPr>
          <w:p w14:paraId="7774F1B8" w14:textId="77777777" w:rsidR="00740E42" w:rsidRPr="00D95E51" w:rsidRDefault="00740E42" w:rsidP="000606E3">
            <w:pPr>
              <w:spacing w:line="240" w:lineRule="exact"/>
              <w:ind w:right="51" w:firstLine="26"/>
              <w:jc w:val="both"/>
              <w:rPr>
                <w:sz w:val="22"/>
                <w:szCs w:val="22"/>
              </w:rPr>
            </w:pPr>
            <w:r w:rsidRPr="00D95E51">
              <w:rPr>
                <w:sz w:val="22"/>
                <w:szCs w:val="22"/>
              </w:rPr>
              <w:t>26,3%</w:t>
            </w:r>
          </w:p>
        </w:tc>
        <w:tc>
          <w:tcPr>
            <w:tcW w:w="1225" w:type="dxa"/>
            <w:shd w:val="clear" w:color="auto" w:fill="auto"/>
          </w:tcPr>
          <w:p w14:paraId="5C6A0D03" w14:textId="77777777" w:rsidR="00740E42" w:rsidRPr="00D95E51" w:rsidRDefault="00740E42" w:rsidP="000606E3">
            <w:pPr>
              <w:spacing w:line="240" w:lineRule="exact"/>
              <w:ind w:right="51" w:firstLine="26"/>
              <w:jc w:val="both"/>
              <w:rPr>
                <w:sz w:val="22"/>
                <w:szCs w:val="22"/>
              </w:rPr>
            </w:pPr>
            <w:r w:rsidRPr="00D95E51">
              <w:rPr>
                <w:sz w:val="22"/>
                <w:szCs w:val="22"/>
              </w:rPr>
              <w:t>23,7%</w:t>
            </w:r>
          </w:p>
        </w:tc>
        <w:tc>
          <w:tcPr>
            <w:tcW w:w="1383" w:type="dxa"/>
            <w:shd w:val="clear" w:color="auto" w:fill="auto"/>
          </w:tcPr>
          <w:p w14:paraId="6B821EF4" w14:textId="77777777" w:rsidR="00740E42" w:rsidRPr="00D95E51" w:rsidRDefault="00740E42" w:rsidP="000606E3">
            <w:pPr>
              <w:spacing w:line="240" w:lineRule="exact"/>
              <w:ind w:right="51" w:firstLine="26"/>
              <w:jc w:val="both"/>
              <w:rPr>
                <w:sz w:val="22"/>
                <w:szCs w:val="22"/>
              </w:rPr>
            </w:pPr>
            <w:r w:rsidRPr="00D95E51">
              <w:rPr>
                <w:sz w:val="22"/>
                <w:szCs w:val="22"/>
              </w:rPr>
              <w:t>21,6%</w:t>
            </w:r>
          </w:p>
        </w:tc>
        <w:tc>
          <w:tcPr>
            <w:tcW w:w="786" w:type="dxa"/>
            <w:shd w:val="clear" w:color="auto" w:fill="auto"/>
          </w:tcPr>
          <w:p w14:paraId="79EA61EF" w14:textId="77777777" w:rsidR="00740E42" w:rsidRPr="00D95E51" w:rsidRDefault="00740E42" w:rsidP="000606E3">
            <w:pPr>
              <w:spacing w:line="240" w:lineRule="exact"/>
              <w:ind w:right="51" w:firstLine="26"/>
              <w:jc w:val="both"/>
              <w:rPr>
                <w:sz w:val="22"/>
                <w:szCs w:val="22"/>
              </w:rPr>
            </w:pPr>
            <w:r w:rsidRPr="00D95E51">
              <w:rPr>
                <w:sz w:val="22"/>
                <w:szCs w:val="22"/>
              </w:rPr>
              <w:t>0,749</w:t>
            </w:r>
          </w:p>
        </w:tc>
      </w:tr>
      <w:tr w:rsidR="00740E42" w:rsidRPr="00D95E51" w14:paraId="3329627C" w14:textId="77777777" w:rsidTr="008D4648">
        <w:trPr>
          <w:trHeight w:val="305"/>
        </w:trPr>
        <w:tc>
          <w:tcPr>
            <w:tcW w:w="1529" w:type="dxa"/>
            <w:shd w:val="clear" w:color="auto" w:fill="auto"/>
          </w:tcPr>
          <w:p w14:paraId="5D13ED0C" w14:textId="77777777" w:rsidR="00740E42" w:rsidRPr="00D95E51" w:rsidRDefault="00740E42" w:rsidP="000606E3">
            <w:pPr>
              <w:spacing w:line="240" w:lineRule="exact"/>
              <w:ind w:right="51" w:firstLine="26"/>
              <w:jc w:val="both"/>
              <w:rPr>
                <w:b/>
                <w:bCs/>
                <w:sz w:val="22"/>
                <w:szCs w:val="22"/>
              </w:rPr>
            </w:pPr>
            <w:r w:rsidRPr="00D95E51">
              <w:rPr>
                <w:b/>
                <w:bCs/>
                <w:sz w:val="22"/>
                <w:szCs w:val="22"/>
              </w:rPr>
              <w:t xml:space="preserve">Sau CT </w:t>
            </w:r>
          </w:p>
        </w:tc>
        <w:tc>
          <w:tcPr>
            <w:tcW w:w="1207" w:type="dxa"/>
            <w:shd w:val="clear" w:color="auto" w:fill="auto"/>
          </w:tcPr>
          <w:p w14:paraId="6079C51E" w14:textId="77777777" w:rsidR="00740E42" w:rsidRPr="00D95E51" w:rsidRDefault="00740E42" w:rsidP="000606E3">
            <w:pPr>
              <w:spacing w:line="240" w:lineRule="exact"/>
              <w:ind w:right="51" w:firstLine="26"/>
              <w:jc w:val="both"/>
              <w:rPr>
                <w:sz w:val="22"/>
                <w:szCs w:val="22"/>
              </w:rPr>
            </w:pPr>
            <w:bookmarkStart w:id="29" w:name="_Hlk118550974"/>
            <w:r w:rsidRPr="00D95E51">
              <w:rPr>
                <w:sz w:val="22"/>
                <w:szCs w:val="22"/>
              </w:rPr>
              <w:t>8,1%</w:t>
            </w:r>
            <w:bookmarkEnd w:id="29"/>
          </w:p>
        </w:tc>
        <w:tc>
          <w:tcPr>
            <w:tcW w:w="1225" w:type="dxa"/>
            <w:shd w:val="clear" w:color="auto" w:fill="auto"/>
          </w:tcPr>
          <w:p w14:paraId="3A8BEEFC" w14:textId="77777777" w:rsidR="00740E42" w:rsidRPr="00D95E51" w:rsidRDefault="00740E42" w:rsidP="000606E3">
            <w:pPr>
              <w:spacing w:line="240" w:lineRule="exact"/>
              <w:ind w:right="51" w:firstLine="26"/>
              <w:jc w:val="both"/>
              <w:rPr>
                <w:sz w:val="22"/>
                <w:szCs w:val="22"/>
              </w:rPr>
            </w:pPr>
            <w:bookmarkStart w:id="30" w:name="_Hlk118551102"/>
            <w:r w:rsidRPr="00D95E51">
              <w:rPr>
                <w:sz w:val="22"/>
                <w:szCs w:val="22"/>
              </w:rPr>
              <w:t>14,0</w:t>
            </w:r>
            <w:bookmarkEnd w:id="30"/>
            <w:r w:rsidRPr="00D95E51">
              <w:rPr>
                <w:sz w:val="22"/>
                <w:szCs w:val="22"/>
              </w:rPr>
              <w:t>%</w:t>
            </w:r>
          </w:p>
        </w:tc>
        <w:tc>
          <w:tcPr>
            <w:tcW w:w="1383" w:type="dxa"/>
            <w:shd w:val="clear" w:color="auto" w:fill="auto"/>
          </w:tcPr>
          <w:p w14:paraId="255C0048" w14:textId="77777777" w:rsidR="00740E42" w:rsidRPr="00D95E51" w:rsidRDefault="00740E42" w:rsidP="000606E3">
            <w:pPr>
              <w:spacing w:line="240" w:lineRule="exact"/>
              <w:ind w:right="51" w:firstLine="26"/>
              <w:jc w:val="both"/>
              <w:rPr>
                <w:sz w:val="22"/>
                <w:szCs w:val="22"/>
              </w:rPr>
            </w:pPr>
            <w:bookmarkStart w:id="31" w:name="_Hlk118551117"/>
            <w:r w:rsidRPr="00D95E51">
              <w:rPr>
                <w:sz w:val="22"/>
                <w:szCs w:val="22"/>
              </w:rPr>
              <w:t>5,2</w:t>
            </w:r>
            <w:bookmarkEnd w:id="31"/>
            <w:r w:rsidRPr="00D95E51">
              <w:rPr>
                <w:sz w:val="22"/>
                <w:szCs w:val="22"/>
              </w:rPr>
              <w:t>%</w:t>
            </w:r>
          </w:p>
        </w:tc>
        <w:tc>
          <w:tcPr>
            <w:tcW w:w="786" w:type="dxa"/>
            <w:shd w:val="clear" w:color="auto" w:fill="auto"/>
          </w:tcPr>
          <w:p w14:paraId="55838F9D" w14:textId="77777777" w:rsidR="00740E42" w:rsidRPr="00D95E51" w:rsidRDefault="00740E42" w:rsidP="000606E3">
            <w:pPr>
              <w:spacing w:line="240" w:lineRule="exact"/>
              <w:ind w:right="51" w:firstLine="26"/>
              <w:jc w:val="both"/>
              <w:rPr>
                <w:sz w:val="22"/>
                <w:szCs w:val="22"/>
              </w:rPr>
            </w:pPr>
            <w:r w:rsidRPr="00D95E51">
              <w:rPr>
                <w:sz w:val="22"/>
                <w:szCs w:val="22"/>
              </w:rPr>
              <w:t>0,112</w:t>
            </w:r>
          </w:p>
        </w:tc>
      </w:tr>
      <w:tr w:rsidR="00740E42" w:rsidRPr="00D95E51" w14:paraId="01770149" w14:textId="77777777" w:rsidTr="008D4648">
        <w:trPr>
          <w:trHeight w:val="305"/>
        </w:trPr>
        <w:tc>
          <w:tcPr>
            <w:tcW w:w="1529" w:type="dxa"/>
            <w:shd w:val="clear" w:color="auto" w:fill="auto"/>
          </w:tcPr>
          <w:p w14:paraId="55B410D4" w14:textId="06BD02C0" w:rsidR="00740E42" w:rsidRPr="00D95E51" w:rsidRDefault="00740E42" w:rsidP="000606E3">
            <w:pPr>
              <w:spacing w:line="240" w:lineRule="exact"/>
              <w:ind w:right="51" w:firstLine="26"/>
              <w:jc w:val="both"/>
              <w:rPr>
                <w:b/>
                <w:bCs/>
                <w:sz w:val="22"/>
                <w:szCs w:val="22"/>
              </w:rPr>
            </w:pPr>
            <w:bookmarkStart w:id="32" w:name="_Hlk118551136"/>
            <w:r w:rsidRPr="00D95E51">
              <w:rPr>
                <w:b/>
                <w:bCs/>
                <w:sz w:val="22"/>
                <w:szCs w:val="22"/>
              </w:rPr>
              <w:t>Mức thay đổi</w:t>
            </w:r>
            <w:bookmarkEnd w:id="32"/>
          </w:p>
        </w:tc>
        <w:tc>
          <w:tcPr>
            <w:tcW w:w="1207" w:type="dxa"/>
            <w:shd w:val="clear" w:color="auto" w:fill="auto"/>
          </w:tcPr>
          <w:p w14:paraId="77F6706D" w14:textId="77777777" w:rsidR="00740E42" w:rsidRPr="00D95E51" w:rsidRDefault="00740E42" w:rsidP="000606E3">
            <w:pPr>
              <w:spacing w:line="240" w:lineRule="exact"/>
              <w:ind w:right="51" w:firstLine="26"/>
              <w:jc w:val="both"/>
              <w:rPr>
                <w:sz w:val="22"/>
                <w:szCs w:val="22"/>
              </w:rPr>
            </w:pPr>
            <w:r w:rsidRPr="00D95E51">
              <w:rPr>
                <w:sz w:val="22"/>
                <w:szCs w:val="22"/>
              </w:rPr>
              <w:t>16,2%</w:t>
            </w:r>
          </w:p>
        </w:tc>
        <w:tc>
          <w:tcPr>
            <w:tcW w:w="1225" w:type="dxa"/>
            <w:shd w:val="clear" w:color="auto" w:fill="auto"/>
          </w:tcPr>
          <w:p w14:paraId="4443F684" w14:textId="77777777" w:rsidR="00740E42" w:rsidRPr="00D95E51" w:rsidRDefault="00740E42" w:rsidP="000606E3">
            <w:pPr>
              <w:spacing w:line="240" w:lineRule="exact"/>
              <w:ind w:right="51" w:firstLine="26"/>
              <w:jc w:val="both"/>
              <w:rPr>
                <w:sz w:val="22"/>
                <w:szCs w:val="22"/>
              </w:rPr>
            </w:pPr>
            <w:r w:rsidRPr="00D95E51">
              <w:rPr>
                <w:sz w:val="22"/>
                <w:szCs w:val="22"/>
              </w:rPr>
              <w:t>9,7%</w:t>
            </w:r>
          </w:p>
        </w:tc>
        <w:tc>
          <w:tcPr>
            <w:tcW w:w="1383" w:type="dxa"/>
            <w:shd w:val="clear" w:color="auto" w:fill="auto"/>
          </w:tcPr>
          <w:p w14:paraId="7E54F599" w14:textId="77777777" w:rsidR="00740E42" w:rsidRPr="00D95E51" w:rsidRDefault="00740E42" w:rsidP="000606E3">
            <w:pPr>
              <w:spacing w:line="240" w:lineRule="exact"/>
              <w:ind w:right="51" w:firstLine="26"/>
              <w:jc w:val="both"/>
              <w:rPr>
                <w:sz w:val="22"/>
                <w:szCs w:val="22"/>
              </w:rPr>
            </w:pPr>
            <w:r w:rsidRPr="00D95E51">
              <w:rPr>
                <w:sz w:val="22"/>
                <w:szCs w:val="22"/>
              </w:rPr>
              <w:t>16,4%</w:t>
            </w:r>
          </w:p>
        </w:tc>
        <w:tc>
          <w:tcPr>
            <w:tcW w:w="786" w:type="dxa"/>
            <w:shd w:val="clear" w:color="auto" w:fill="auto"/>
          </w:tcPr>
          <w:p w14:paraId="1C5EF202" w14:textId="77777777" w:rsidR="00740E42" w:rsidRPr="00D95E51" w:rsidRDefault="00740E42" w:rsidP="000606E3">
            <w:pPr>
              <w:spacing w:line="240" w:lineRule="exact"/>
              <w:ind w:right="51" w:firstLine="26"/>
              <w:jc w:val="both"/>
              <w:rPr>
                <w:sz w:val="22"/>
                <w:szCs w:val="22"/>
              </w:rPr>
            </w:pPr>
            <w:r w:rsidRPr="00D95E51">
              <w:rPr>
                <w:sz w:val="22"/>
                <w:szCs w:val="22"/>
              </w:rPr>
              <w:t>0,253</w:t>
            </w:r>
          </w:p>
        </w:tc>
      </w:tr>
      <w:tr w:rsidR="00740E42" w:rsidRPr="00D95E51" w14:paraId="195145EC" w14:textId="77777777" w:rsidTr="008D4648">
        <w:trPr>
          <w:trHeight w:val="305"/>
        </w:trPr>
        <w:tc>
          <w:tcPr>
            <w:tcW w:w="1529" w:type="dxa"/>
            <w:shd w:val="clear" w:color="auto" w:fill="auto"/>
          </w:tcPr>
          <w:p w14:paraId="4D78F6BB" w14:textId="77777777" w:rsidR="00740E42" w:rsidRPr="00D95E51" w:rsidRDefault="00740E42" w:rsidP="000606E3">
            <w:pPr>
              <w:spacing w:line="240" w:lineRule="exact"/>
              <w:ind w:right="51" w:firstLine="26"/>
              <w:jc w:val="both"/>
              <w:rPr>
                <w:b/>
                <w:bCs/>
                <w:sz w:val="22"/>
                <w:szCs w:val="22"/>
                <w:vertAlign w:val="superscript"/>
              </w:rPr>
            </w:pPr>
            <w:r w:rsidRPr="00D95E51">
              <w:rPr>
                <w:b/>
                <w:bCs/>
                <w:sz w:val="22"/>
                <w:szCs w:val="22"/>
              </w:rPr>
              <w:t>p</w:t>
            </w:r>
            <w:r w:rsidRPr="00D95E51">
              <w:rPr>
                <w:b/>
                <w:bCs/>
                <w:sz w:val="22"/>
                <w:szCs w:val="22"/>
                <w:vertAlign w:val="superscript"/>
              </w:rPr>
              <w:t>2</w:t>
            </w:r>
          </w:p>
        </w:tc>
        <w:tc>
          <w:tcPr>
            <w:tcW w:w="1207" w:type="dxa"/>
            <w:shd w:val="clear" w:color="auto" w:fill="auto"/>
          </w:tcPr>
          <w:p w14:paraId="349E3A07" w14:textId="77777777" w:rsidR="00740E42" w:rsidRPr="00D95E51" w:rsidRDefault="00740E42" w:rsidP="000606E3">
            <w:pPr>
              <w:spacing w:line="240" w:lineRule="exact"/>
              <w:ind w:right="51" w:firstLine="26"/>
              <w:jc w:val="both"/>
              <w:rPr>
                <w:b/>
                <w:sz w:val="22"/>
                <w:szCs w:val="22"/>
              </w:rPr>
            </w:pPr>
            <w:r w:rsidRPr="00D95E51">
              <w:rPr>
                <w:b/>
                <w:sz w:val="22"/>
                <w:szCs w:val="22"/>
              </w:rPr>
              <w:t>0,001</w:t>
            </w:r>
          </w:p>
        </w:tc>
        <w:tc>
          <w:tcPr>
            <w:tcW w:w="1225" w:type="dxa"/>
            <w:shd w:val="clear" w:color="auto" w:fill="auto"/>
          </w:tcPr>
          <w:p w14:paraId="3524F888" w14:textId="77777777" w:rsidR="00740E42" w:rsidRPr="00D95E51" w:rsidRDefault="00740E42" w:rsidP="000606E3">
            <w:pPr>
              <w:spacing w:line="240" w:lineRule="exact"/>
              <w:ind w:right="51" w:firstLine="26"/>
              <w:jc w:val="both"/>
              <w:rPr>
                <w:bCs/>
                <w:sz w:val="22"/>
                <w:szCs w:val="22"/>
              </w:rPr>
            </w:pPr>
            <w:r w:rsidRPr="00D95E51">
              <w:rPr>
                <w:bCs/>
                <w:sz w:val="22"/>
                <w:szCs w:val="22"/>
              </w:rPr>
              <w:t>0,093</w:t>
            </w:r>
          </w:p>
        </w:tc>
        <w:tc>
          <w:tcPr>
            <w:tcW w:w="1383" w:type="dxa"/>
            <w:shd w:val="clear" w:color="auto" w:fill="auto"/>
          </w:tcPr>
          <w:p w14:paraId="665F5903" w14:textId="77777777" w:rsidR="00740E42" w:rsidRPr="00D95E51" w:rsidRDefault="00740E42" w:rsidP="000606E3">
            <w:pPr>
              <w:spacing w:line="240" w:lineRule="exact"/>
              <w:ind w:right="51" w:firstLine="26"/>
              <w:jc w:val="both"/>
              <w:rPr>
                <w:b/>
                <w:sz w:val="22"/>
                <w:szCs w:val="22"/>
              </w:rPr>
            </w:pPr>
            <w:r w:rsidRPr="00D95E51">
              <w:rPr>
                <w:b/>
                <w:sz w:val="22"/>
                <w:szCs w:val="22"/>
              </w:rPr>
              <w:t>0,001</w:t>
            </w:r>
          </w:p>
        </w:tc>
        <w:tc>
          <w:tcPr>
            <w:tcW w:w="786" w:type="dxa"/>
            <w:shd w:val="clear" w:color="auto" w:fill="auto"/>
          </w:tcPr>
          <w:p w14:paraId="72E6BF99" w14:textId="77777777" w:rsidR="00740E42" w:rsidRPr="00D95E51" w:rsidRDefault="00740E42" w:rsidP="000606E3">
            <w:pPr>
              <w:spacing w:line="240" w:lineRule="exact"/>
              <w:ind w:right="51" w:firstLine="26"/>
              <w:jc w:val="both"/>
              <w:rPr>
                <w:b/>
                <w:sz w:val="22"/>
                <w:szCs w:val="22"/>
              </w:rPr>
            </w:pPr>
          </w:p>
        </w:tc>
      </w:tr>
    </w:tbl>
    <w:p w14:paraId="5DF43398" w14:textId="77777777" w:rsidR="00984ED1" w:rsidRPr="00D95E51" w:rsidRDefault="00984ED1" w:rsidP="00A1659D">
      <w:pPr>
        <w:spacing w:line="280" w:lineRule="exact"/>
        <w:ind w:firstLine="426"/>
        <w:jc w:val="both"/>
        <w:rPr>
          <w:i/>
          <w:sz w:val="22"/>
          <w:szCs w:val="22"/>
        </w:rPr>
      </w:pPr>
      <w:r w:rsidRPr="00D95E51">
        <w:rPr>
          <w:i/>
          <w:sz w:val="22"/>
          <w:szCs w:val="22"/>
        </w:rPr>
        <w:t>p1: so sánh nhóm can thiệp và đối chứng cùng ở cùng thời điểm, sử dụng kiểm định Chi-Square test.</w:t>
      </w:r>
    </w:p>
    <w:p w14:paraId="7C6C2548" w14:textId="77777777" w:rsidR="00984ED1" w:rsidRPr="00D95E51" w:rsidRDefault="00984ED1" w:rsidP="00A1659D">
      <w:pPr>
        <w:spacing w:line="280" w:lineRule="exact"/>
        <w:ind w:firstLine="426"/>
        <w:jc w:val="both"/>
        <w:rPr>
          <w:i/>
          <w:sz w:val="22"/>
          <w:szCs w:val="22"/>
        </w:rPr>
      </w:pPr>
      <w:r w:rsidRPr="00D95E51">
        <w:rPr>
          <w:i/>
          <w:sz w:val="22"/>
          <w:szCs w:val="22"/>
        </w:rPr>
        <w:t>p2: so sánh cùng nhóm ở hai thời điểm trước và sau can thiệp, sử dụng kiểm định McNemar test.</w:t>
      </w:r>
    </w:p>
    <w:p w14:paraId="5BDF3DE8" w14:textId="758D61B6" w:rsidR="00E95DF5" w:rsidRPr="00D95E51" w:rsidRDefault="00984ED1" w:rsidP="001D15D9">
      <w:pPr>
        <w:spacing w:line="280" w:lineRule="exact"/>
        <w:ind w:firstLine="426"/>
        <w:jc w:val="both"/>
        <w:rPr>
          <w:sz w:val="22"/>
          <w:szCs w:val="22"/>
        </w:rPr>
      </w:pPr>
      <w:r w:rsidRPr="00D95E51">
        <w:rPr>
          <w:sz w:val="22"/>
          <w:szCs w:val="22"/>
        </w:rPr>
        <w:t>So sánh tỷ lệ thiếu sắt giữa trước can thiệp và sau can thiệp được trình bày trong Bảng 3.</w:t>
      </w:r>
      <w:r w:rsidR="00F45184">
        <w:rPr>
          <w:sz w:val="22"/>
          <w:szCs w:val="22"/>
        </w:rPr>
        <w:t>6</w:t>
      </w:r>
      <w:r w:rsidRPr="00D95E51">
        <w:rPr>
          <w:sz w:val="22"/>
          <w:szCs w:val="22"/>
        </w:rPr>
        <w:t>. Trước can thiệp nhóm chứng tỷ lệ thiếu sắt là 26</w:t>
      </w:r>
      <w:proofErr w:type="gramStart"/>
      <w:r w:rsidRPr="00D95E51">
        <w:rPr>
          <w:sz w:val="22"/>
          <w:szCs w:val="22"/>
        </w:rPr>
        <w:t>,3</w:t>
      </w:r>
      <w:proofErr w:type="gramEnd"/>
      <w:r w:rsidRPr="00D95E51">
        <w:rPr>
          <w:sz w:val="22"/>
          <w:szCs w:val="22"/>
        </w:rPr>
        <w:t>%, tỷ lệ thiếu sắt ở nhóm bổ sung kẽm là 23,7%, nhóm bổ sung sắt-kẽm là 21,6%. Sau 6 tháng can thiệp, tỷ lệ thiếu sắt ở 3 nhóm đều giảm, nhóm chứng là: 8</w:t>
      </w:r>
      <w:proofErr w:type="gramStart"/>
      <w:r w:rsidRPr="00D95E51">
        <w:rPr>
          <w:sz w:val="22"/>
          <w:szCs w:val="22"/>
        </w:rPr>
        <w:t>,1</w:t>
      </w:r>
      <w:proofErr w:type="gramEnd"/>
      <w:r w:rsidRPr="00D95E51">
        <w:rPr>
          <w:sz w:val="22"/>
          <w:szCs w:val="22"/>
        </w:rPr>
        <w:t>%  nhóm bổ sung kẽm là 14,0%, và nhóm bổ sung sắt-kẽm là 5,2%. Mức thay đổi ở các nhóm như sau: nhóm chứng 16</w:t>
      </w:r>
      <w:proofErr w:type="gramStart"/>
      <w:r w:rsidRPr="00D95E51">
        <w:rPr>
          <w:sz w:val="22"/>
          <w:szCs w:val="22"/>
        </w:rPr>
        <w:t>,2</w:t>
      </w:r>
      <w:proofErr w:type="gramEnd"/>
      <w:r w:rsidRPr="00D95E51">
        <w:rPr>
          <w:sz w:val="22"/>
          <w:szCs w:val="22"/>
        </w:rPr>
        <w:t>%  nhóm bổ sung kẽm là 9,7%, và nhóm bổ sung sắt-kẽm là 16,4% sự thay đổi tỷ lệ thiếu sắt trước và sau can thiệp ở nhóm chứng và nhóm bổ sung sắt-kẽm có YNTK (p&lt; 0,05).</w:t>
      </w:r>
    </w:p>
    <w:p w14:paraId="1E56C5C6" w14:textId="791F4EE3" w:rsidR="00534EE3" w:rsidRPr="00FE11E2" w:rsidRDefault="00984ED1" w:rsidP="00A1659D">
      <w:pPr>
        <w:spacing w:line="280" w:lineRule="exact"/>
        <w:ind w:firstLine="426"/>
        <w:jc w:val="both"/>
        <w:rPr>
          <w:b/>
          <w:sz w:val="22"/>
          <w:szCs w:val="22"/>
        </w:rPr>
      </w:pPr>
      <w:r w:rsidRPr="00FE11E2">
        <w:rPr>
          <w:b/>
          <w:sz w:val="22"/>
          <w:szCs w:val="22"/>
        </w:rPr>
        <w:t xml:space="preserve">Bảng 3. </w:t>
      </w:r>
      <w:r w:rsidR="008D4648" w:rsidRPr="00FE11E2">
        <w:rPr>
          <w:b/>
          <w:sz w:val="22"/>
          <w:szCs w:val="22"/>
        </w:rPr>
        <w:t>7</w:t>
      </w:r>
      <w:r w:rsidRPr="00FE11E2">
        <w:rPr>
          <w:b/>
          <w:sz w:val="22"/>
          <w:szCs w:val="22"/>
        </w:rPr>
        <w:t>. Chỉ số hiệu quả can thiệp đối với tình trạng thiếu sắt sau can thiệp</w:t>
      </w:r>
    </w:p>
    <w:tbl>
      <w:tblPr>
        <w:tblW w:w="62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8"/>
        <w:gridCol w:w="771"/>
        <w:gridCol w:w="870"/>
        <w:gridCol w:w="771"/>
        <w:gridCol w:w="873"/>
        <w:gridCol w:w="964"/>
      </w:tblGrid>
      <w:tr w:rsidR="001D15D9" w:rsidRPr="00D95E51" w14:paraId="5040D4AF" w14:textId="77777777" w:rsidTr="001D15D9">
        <w:trPr>
          <w:trHeight w:val="727"/>
        </w:trPr>
        <w:tc>
          <w:tcPr>
            <w:tcW w:w="2028" w:type="dxa"/>
            <w:shd w:val="clear" w:color="auto" w:fill="auto"/>
            <w:vAlign w:val="center"/>
            <w:hideMark/>
          </w:tcPr>
          <w:p w14:paraId="01EE0444" w14:textId="77777777" w:rsidR="00534EE3" w:rsidRPr="00D95E51" w:rsidRDefault="00534EE3" w:rsidP="00E95DF5">
            <w:pPr>
              <w:autoSpaceDE w:val="0"/>
              <w:autoSpaceDN w:val="0"/>
              <w:adjustRightInd w:val="0"/>
              <w:spacing w:line="240" w:lineRule="exact"/>
              <w:ind w:right="49"/>
              <w:jc w:val="center"/>
              <w:rPr>
                <w:b/>
                <w:bCs/>
                <w:sz w:val="22"/>
                <w:szCs w:val="22"/>
              </w:rPr>
            </w:pPr>
            <w:r w:rsidRPr="00D95E51">
              <w:rPr>
                <w:b/>
                <w:bCs/>
                <w:sz w:val="22"/>
                <w:szCs w:val="22"/>
              </w:rPr>
              <w:t>Chỉ số</w:t>
            </w:r>
          </w:p>
        </w:tc>
        <w:tc>
          <w:tcPr>
            <w:tcW w:w="1641" w:type="dxa"/>
            <w:gridSpan w:val="2"/>
            <w:shd w:val="clear" w:color="auto" w:fill="auto"/>
            <w:vAlign w:val="center"/>
            <w:hideMark/>
          </w:tcPr>
          <w:p w14:paraId="2326552F" w14:textId="77777777" w:rsidR="00534EE3" w:rsidRPr="00D95E51" w:rsidRDefault="00534EE3" w:rsidP="00E95DF5">
            <w:pPr>
              <w:autoSpaceDE w:val="0"/>
              <w:autoSpaceDN w:val="0"/>
              <w:adjustRightInd w:val="0"/>
              <w:spacing w:line="240" w:lineRule="exact"/>
              <w:ind w:right="49"/>
              <w:jc w:val="center"/>
              <w:rPr>
                <w:b/>
                <w:bCs/>
                <w:sz w:val="22"/>
                <w:szCs w:val="22"/>
              </w:rPr>
            </w:pPr>
            <w:r w:rsidRPr="00D95E51">
              <w:rPr>
                <w:b/>
                <w:bCs/>
                <w:sz w:val="22"/>
                <w:szCs w:val="22"/>
              </w:rPr>
              <w:t>Nhóm chứng</w:t>
            </w:r>
          </w:p>
        </w:tc>
        <w:tc>
          <w:tcPr>
            <w:tcW w:w="1643" w:type="dxa"/>
            <w:gridSpan w:val="2"/>
            <w:shd w:val="clear" w:color="auto" w:fill="auto"/>
            <w:vAlign w:val="center"/>
            <w:hideMark/>
          </w:tcPr>
          <w:p w14:paraId="109EB390" w14:textId="77777777" w:rsidR="00534EE3" w:rsidRPr="00D95E51" w:rsidRDefault="00534EE3" w:rsidP="00E95DF5">
            <w:pPr>
              <w:tabs>
                <w:tab w:val="left" w:pos="684"/>
              </w:tabs>
              <w:autoSpaceDE w:val="0"/>
              <w:autoSpaceDN w:val="0"/>
              <w:adjustRightInd w:val="0"/>
              <w:spacing w:line="240" w:lineRule="exact"/>
              <w:ind w:right="49" w:hanging="82"/>
              <w:jc w:val="center"/>
              <w:rPr>
                <w:b/>
                <w:bCs/>
                <w:sz w:val="22"/>
                <w:szCs w:val="22"/>
              </w:rPr>
            </w:pPr>
            <w:r w:rsidRPr="00D95E51">
              <w:rPr>
                <w:b/>
                <w:bCs/>
                <w:sz w:val="22"/>
                <w:szCs w:val="22"/>
              </w:rPr>
              <w:t>Nhóm bổ sung Zn</w:t>
            </w:r>
          </w:p>
        </w:tc>
        <w:tc>
          <w:tcPr>
            <w:tcW w:w="964" w:type="dxa"/>
            <w:shd w:val="clear" w:color="auto" w:fill="auto"/>
            <w:vAlign w:val="center"/>
            <w:hideMark/>
          </w:tcPr>
          <w:p w14:paraId="335B4A5E" w14:textId="77777777" w:rsidR="00534EE3" w:rsidRPr="00D95E51" w:rsidRDefault="00534EE3" w:rsidP="00E95DF5">
            <w:pPr>
              <w:tabs>
                <w:tab w:val="left" w:pos="684"/>
              </w:tabs>
              <w:spacing w:line="240" w:lineRule="exact"/>
              <w:ind w:right="49" w:hanging="82"/>
              <w:jc w:val="center"/>
              <w:rPr>
                <w:b/>
                <w:bCs/>
                <w:sz w:val="22"/>
                <w:szCs w:val="22"/>
              </w:rPr>
            </w:pPr>
            <w:r w:rsidRPr="00D95E51">
              <w:rPr>
                <w:b/>
                <w:bCs/>
                <w:sz w:val="22"/>
                <w:szCs w:val="22"/>
              </w:rPr>
              <w:t>p</w:t>
            </w:r>
          </w:p>
        </w:tc>
      </w:tr>
      <w:tr w:rsidR="00534EE3" w:rsidRPr="00D95E51" w14:paraId="2C4DED77" w14:textId="77777777" w:rsidTr="00E95DF5">
        <w:trPr>
          <w:trHeight w:val="54"/>
        </w:trPr>
        <w:tc>
          <w:tcPr>
            <w:tcW w:w="2028" w:type="dxa"/>
            <w:shd w:val="clear" w:color="auto" w:fill="auto"/>
            <w:hideMark/>
          </w:tcPr>
          <w:p w14:paraId="622C23ED" w14:textId="77777777" w:rsidR="00534EE3" w:rsidRPr="00D95E51" w:rsidRDefault="00534EE3" w:rsidP="00E95DF5">
            <w:pPr>
              <w:autoSpaceDE w:val="0"/>
              <w:autoSpaceDN w:val="0"/>
              <w:adjustRightInd w:val="0"/>
              <w:spacing w:line="312" w:lineRule="auto"/>
              <w:ind w:right="49"/>
              <w:jc w:val="both"/>
              <w:rPr>
                <w:b/>
                <w:bCs/>
                <w:sz w:val="22"/>
                <w:szCs w:val="22"/>
              </w:rPr>
            </w:pPr>
            <w:r w:rsidRPr="00D95E51">
              <w:rPr>
                <w:b/>
                <w:bCs/>
                <w:sz w:val="22"/>
                <w:szCs w:val="22"/>
              </w:rPr>
              <w:t>Thiếu sắt</w:t>
            </w:r>
          </w:p>
        </w:tc>
        <w:tc>
          <w:tcPr>
            <w:tcW w:w="771" w:type="dxa"/>
            <w:shd w:val="clear" w:color="auto" w:fill="auto"/>
            <w:hideMark/>
          </w:tcPr>
          <w:p w14:paraId="526B1995" w14:textId="77777777" w:rsidR="00534EE3" w:rsidRPr="00D95E51" w:rsidRDefault="00534EE3" w:rsidP="00E95DF5">
            <w:pPr>
              <w:autoSpaceDE w:val="0"/>
              <w:autoSpaceDN w:val="0"/>
              <w:adjustRightInd w:val="0"/>
              <w:spacing w:line="312" w:lineRule="auto"/>
              <w:ind w:right="49"/>
              <w:jc w:val="center"/>
              <w:rPr>
                <w:sz w:val="22"/>
                <w:szCs w:val="22"/>
              </w:rPr>
            </w:pPr>
            <w:r w:rsidRPr="00D95E51">
              <w:rPr>
                <w:sz w:val="22"/>
                <w:szCs w:val="22"/>
              </w:rPr>
              <w:t>9</w:t>
            </w:r>
          </w:p>
        </w:tc>
        <w:tc>
          <w:tcPr>
            <w:tcW w:w="870" w:type="dxa"/>
            <w:shd w:val="clear" w:color="auto" w:fill="auto"/>
            <w:hideMark/>
          </w:tcPr>
          <w:p w14:paraId="71C144D7" w14:textId="77777777" w:rsidR="00534EE3" w:rsidRPr="00D95E51" w:rsidRDefault="00534EE3" w:rsidP="00E95DF5">
            <w:pPr>
              <w:autoSpaceDE w:val="0"/>
              <w:autoSpaceDN w:val="0"/>
              <w:adjustRightInd w:val="0"/>
              <w:spacing w:line="312" w:lineRule="auto"/>
              <w:ind w:right="49"/>
              <w:jc w:val="center"/>
              <w:rPr>
                <w:sz w:val="22"/>
                <w:szCs w:val="22"/>
              </w:rPr>
            </w:pPr>
            <w:r w:rsidRPr="00D95E51">
              <w:rPr>
                <w:sz w:val="22"/>
                <w:szCs w:val="22"/>
              </w:rPr>
              <w:t>9,1%</w:t>
            </w:r>
          </w:p>
        </w:tc>
        <w:tc>
          <w:tcPr>
            <w:tcW w:w="771" w:type="dxa"/>
            <w:shd w:val="clear" w:color="auto" w:fill="auto"/>
            <w:hideMark/>
          </w:tcPr>
          <w:p w14:paraId="1E7AD289" w14:textId="77777777" w:rsidR="00534EE3" w:rsidRPr="00D95E51" w:rsidRDefault="00534EE3" w:rsidP="00E95DF5">
            <w:pPr>
              <w:tabs>
                <w:tab w:val="left" w:pos="684"/>
              </w:tabs>
              <w:autoSpaceDE w:val="0"/>
              <w:autoSpaceDN w:val="0"/>
              <w:adjustRightInd w:val="0"/>
              <w:spacing w:line="312" w:lineRule="auto"/>
              <w:ind w:right="49" w:hanging="82"/>
              <w:jc w:val="center"/>
              <w:rPr>
                <w:sz w:val="22"/>
                <w:szCs w:val="22"/>
              </w:rPr>
            </w:pPr>
            <w:r w:rsidRPr="00D95E51">
              <w:rPr>
                <w:sz w:val="22"/>
                <w:szCs w:val="22"/>
              </w:rPr>
              <w:t>14</w:t>
            </w:r>
          </w:p>
        </w:tc>
        <w:tc>
          <w:tcPr>
            <w:tcW w:w="872" w:type="dxa"/>
            <w:shd w:val="clear" w:color="auto" w:fill="auto"/>
            <w:hideMark/>
          </w:tcPr>
          <w:p w14:paraId="68EB90EF" w14:textId="77777777" w:rsidR="00534EE3" w:rsidRPr="00D95E51" w:rsidRDefault="00534EE3" w:rsidP="00E95DF5">
            <w:pPr>
              <w:tabs>
                <w:tab w:val="left" w:pos="684"/>
              </w:tabs>
              <w:autoSpaceDE w:val="0"/>
              <w:autoSpaceDN w:val="0"/>
              <w:adjustRightInd w:val="0"/>
              <w:spacing w:line="312" w:lineRule="auto"/>
              <w:ind w:right="49" w:hanging="82"/>
              <w:jc w:val="center"/>
              <w:rPr>
                <w:sz w:val="22"/>
                <w:szCs w:val="22"/>
              </w:rPr>
            </w:pPr>
            <w:r w:rsidRPr="00D95E51">
              <w:rPr>
                <w:sz w:val="22"/>
                <w:szCs w:val="22"/>
              </w:rPr>
              <w:t>14,0%</w:t>
            </w:r>
          </w:p>
        </w:tc>
        <w:tc>
          <w:tcPr>
            <w:tcW w:w="964" w:type="dxa"/>
            <w:vMerge w:val="restart"/>
            <w:shd w:val="clear" w:color="auto" w:fill="auto"/>
            <w:hideMark/>
          </w:tcPr>
          <w:p w14:paraId="3023FF63" w14:textId="77777777" w:rsidR="00534EE3" w:rsidRPr="00D95E51" w:rsidRDefault="00534EE3" w:rsidP="00E95DF5">
            <w:pPr>
              <w:tabs>
                <w:tab w:val="left" w:pos="684"/>
              </w:tabs>
              <w:autoSpaceDE w:val="0"/>
              <w:autoSpaceDN w:val="0"/>
              <w:adjustRightInd w:val="0"/>
              <w:spacing w:line="312" w:lineRule="auto"/>
              <w:ind w:right="49" w:hanging="82"/>
              <w:jc w:val="center"/>
              <w:rPr>
                <w:sz w:val="22"/>
                <w:szCs w:val="22"/>
              </w:rPr>
            </w:pPr>
            <w:r w:rsidRPr="00D95E51">
              <w:rPr>
                <w:sz w:val="22"/>
                <w:szCs w:val="22"/>
              </w:rPr>
              <w:t>0,29</w:t>
            </w:r>
          </w:p>
          <w:p w14:paraId="70093548" w14:textId="77777777" w:rsidR="00534EE3" w:rsidRPr="00D95E51" w:rsidRDefault="00534EE3" w:rsidP="00E95DF5">
            <w:pPr>
              <w:tabs>
                <w:tab w:val="left" w:pos="684"/>
              </w:tabs>
              <w:autoSpaceDE w:val="0"/>
              <w:autoSpaceDN w:val="0"/>
              <w:adjustRightInd w:val="0"/>
              <w:spacing w:line="312" w:lineRule="auto"/>
              <w:ind w:right="49" w:hanging="82"/>
              <w:jc w:val="center"/>
              <w:rPr>
                <w:sz w:val="22"/>
                <w:szCs w:val="22"/>
              </w:rPr>
            </w:pPr>
          </w:p>
        </w:tc>
      </w:tr>
      <w:tr w:rsidR="00534EE3" w:rsidRPr="00D95E51" w14:paraId="7E69FBC8" w14:textId="77777777" w:rsidTr="00E95DF5">
        <w:trPr>
          <w:trHeight w:val="54"/>
        </w:trPr>
        <w:tc>
          <w:tcPr>
            <w:tcW w:w="2028" w:type="dxa"/>
            <w:shd w:val="clear" w:color="auto" w:fill="auto"/>
            <w:hideMark/>
          </w:tcPr>
          <w:p w14:paraId="449BADB2" w14:textId="77777777" w:rsidR="00534EE3" w:rsidRPr="00D95E51" w:rsidRDefault="00534EE3" w:rsidP="00E95DF5">
            <w:pPr>
              <w:autoSpaceDE w:val="0"/>
              <w:autoSpaceDN w:val="0"/>
              <w:adjustRightInd w:val="0"/>
              <w:spacing w:line="312" w:lineRule="auto"/>
              <w:ind w:right="49"/>
              <w:jc w:val="both"/>
              <w:rPr>
                <w:b/>
                <w:bCs/>
                <w:sz w:val="22"/>
                <w:szCs w:val="22"/>
              </w:rPr>
            </w:pPr>
            <w:r w:rsidRPr="00D95E51">
              <w:rPr>
                <w:b/>
                <w:bCs/>
                <w:sz w:val="22"/>
                <w:szCs w:val="22"/>
              </w:rPr>
              <w:t>Không thiếu sắt</w:t>
            </w:r>
          </w:p>
        </w:tc>
        <w:tc>
          <w:tcPr>
            <w:tcW w:w="771" w:type="dxa"/>
            <w:shd w:val="clear" w:color="auto" w:fill="auto"/>
            <w:hideMark/>
          </w:tcPr>
          <w:p w14:paraId="236359BC" w14:textId="77777777" w:rsidR="00534EE3" w:rsidRPr="00D95E51" w:rsidRDefault="00534EE3" w:rsidP="00E95DF5">
            <w:pPr>
              <w:autoSpaceDE w:val="0"/>
              <w:autoSpaceDN w:val="0"/>
              <w:adjustRightInd w:val="0"/>
              <w:spacing w:line="312" w:lineRule="auto"/>
              <w:ind w:right="49"/>
              <w:jc w:val="center"/>
              <w:rPr>
                <w:sz w:val="22"/>
                <w:szCs w:val="22"/>
              </w:rPr>
            </w:pPr>
            <w:r w:rsidRPr="00D95E51">
              <w:rPr>
                <w:sz w:val="22"/>
                <w:szCs w:val="22"/>
              </w:rPr>
              <w:t>90</w:t>
            </w:r>
          </w:p>
        </w:tc>
        <w:tc>
          <w:tcPr>
            <w:tcW w:w="870" w:type="dxa"/>
            <w:shd w:val="clear" w:color="auto" w:fill="auto"/>
            <w:hideMark/>
          </w:tcPr>
          <w:p w14:paraId="3576537F" w14:textId="77777777" w:rsidR="00534EE3" w:rsidRPr="00D95E51" w:rsidRDefault="00534EE3" w:rsidP="00E95DF5">
            <w:pPr>
              <w:autoSpaceDE w:val="0"/>
              <w:autoSpaceDN w:val="0"/>
              <w:adjustRightInd w:val="0"/>
              <w:spacing w:line="312" w:lineRule="auto"/>
              <w:ind w:right="49"/>
              <w:jc w:val="center"/>
              <w:rPr>
                <w:sz w:val="22"/>
                <w:szCs w:val="22"/>
              </w:rPr>
            </w:pPr>
            <w:r w:rsidRPr="00D95E51">
              <w:rPr>
                <w:sz w:val="22"/>
                <w:szCs w:val="22"/>
              </w:rPr>
              <w:t>90,9%</w:t>
            </w:r>
          </w:p>
        </w:tc>
        <w:tc>
          <w:tcPr>
            <w:tcW w:w="771" w:type="dxa"/>
            <w:shd w:val="clear" w:color="auto" w:fill="auto"/>
            <w:hideMark/>
          </w:tcPr>
          <w:p w14:paraId="176DEC95" w14:textId="77777777" w:rsidR="00534EE3" w:rsidRPr="00D95E51" w:rsidRDefault="00534EE3" w:rsidP="00E95DF5">
            <w:pPr>
              <w:tabs>
                <w:tab w:val="left" w:pos="684"/>
              </w:tabs>
              <w:autoSpaceDE w:val="0"/>
              <w:autoSpaceDN w:val="0"/>
              <w:adjustRightInd w:val="0"/>
              <w:spacing w:line="312" w:lineRule="auto"/>
              <w:ind w:right="49" w:hanging="82"/>
              <w:jc w:val="center"/>
              <w:rPr>
                <w:sz w:val="22"/>
                <w:szCs w:val="22"/>
              </w:rPr>
            </w:pPr>
            <w:r w:rsidRPr="00D95E51">
              <w:rPr>
                <w:sz w:val="22"/>
                <w:szCs w:val="22"/>
              </w:rPr>
              <w:t>87</w:t>
            </w:r>
          </w:p>
        </w:tc>
        <w:tc>
          <w:tcPr>
            <w:tcW w:w="872" w:type="dxa"/>
            <w:shd w:val="clear" w:color="auto" w:fill="auto"/>
            <w:hideMark/>
          </w:tcPr>
          <w:p w14:paraId="6F19C181" w14:textId="77777777" w:rsidR="00534EE3" w:rsidRPr="00D95E51" w:rsidRDefault="00534EE3" w:rsidP="00E95DF5">
            <w:pPr>
              <w:tabs>
                <w:tab w:val="left" w:pos="684"/>
              </w:tabs>
              <w:autoSpaceDE w:val="0"/>
              <w:autoSpaceDN w:val="0"/>
              <w:adjustRightInd w:val="0"/>
              <w:spacing w:line="312" w:lineRule="auto"/>
              <w:ind w:right="49" w:hanging="82"/>
              <w:jc w:val="center"/>
              <w:rPr>
                <w:sz w:val="22"/>
                <w:szCs w:val="22"/>
              </w:rPr>
            </w:pPr>
            <w:r w:rsidRPr="00D95E51">
              <w:rPr>
                <w:sz w:val="22"/>
                <w:szCs w:val="22"/>
              </w:rPr>
              <w:t>86,0%</w:t>
            </w:r>
          </w:p>
        </w:tc>
        <w:tc>
          <w:tcPr>
            <w:tcW w:w="964" w:type="dxa"/>
            <w:vMerge/>
            <w:shd w:val="clear" w:color="auto" w:fill="auto"/>
            <w:hideMark/>
          </w:tcPr>
          <w:p w14:paraId="4A21669A" w14:textId="77777777" w:rsidR="00534EE3" w:rsidRPr="00D95E51" w:rsidRDefault="00534EE3" w:rsidP="00E95DF5">
            <w:pPr>
              <w:tabs>
                <w:tab w:val="left" w:pos="684"/>
              </w:tabs>
              <w:spacing w:line="312" w:lineRule="auto"/>
              <w:ind w:right="49" w:hanging="82"/>
              <w:jc w:val="center"/>
              <w:rPr>
                <w:sz w:val="22"/>
                <w:szCs w:val="22"/>
              </w:rPr>
            </w:pPr>
          </w:p>
        </w:tc>
      </w:tr>
      <w:tr w:rsidR="00534EE3" w:rsidRPr="00D95E51" w14:paraId="0B559095" w14:textId="77777777" w:rsidTr="00E95DF5">
        <w:trPr>
          <w:trHeight w:val="54"/>
        </w:trPr>
        <w:tc>
          <w:tcPr>
            <w:tcW w:w="2028" w:type="dxa"/>
            <w:shd w:val="clear" w:color="auto" w:fill="auto"/>
            <w:hideMark/>
          </w:tcPr>
          <w:p w14:paraId="42ED1FB1" w14:textId="77777777" w:rsidR="00534EE3" w:rsidRPr="00D95E51" w:rsidRDefault="00534EE3" w:rsidP="00E95DF5">
            <w:pPr>
              <w:spacing w:line="312" w:lineRule="auto"/>
              <w:ind w:right="49"/>
              <w:jc w:val="both"/>
              <w:rPr>
                <w:b/>
                <w:bCs/>
                <w:sz w:val="22"/>
                <w:szCs w:val="22"/>
              </w:rPr>
            </w:pPr>
            <w:r w:rsidRPr="00D95E51">
              <w:rPr>
                <w:b/>
                <w:bCs/>
                <w:sz w:val="22"/>
                <w:szCs w:val="22"/>
              </w:rPr>
              <w:t>ARR</w:t>
            </w:r>
          </w:p>
        </w:tc>
        <w:tc>
          <w:tcPr>
            <w:tcW w:w="3285" w:type="dxa"/>
            <w:gridSpan w:val="4"/>
            <w:shd w:val="clear" w:color="auto" w:fill="auto"/>
            <w:hideMark/>
          </w:tcPr>
          <w:p w14:paraId="1DE5A2D8" w14:textId="77777777" w:rsidR="00534EE3" w:rsidRPr="00D95E51" w:rsidRDefault="00534EE3" w:rsidP="00E95DF5">
            <w:pPr>
              <w:tabs>
                <w:tab w:val="left" w:pos="684"/>
              </w:tabs>
              <w:spacing w:line="312" w:lineRule="auto"/>
              <w:ind w:right="49" w:hanging="82"/>
              <w:jc w:val="center"/>
              <w:rPr>
                <w:sz w:val="22"/>
                <w:szCs w:val="22"/>
              </w:rPr>
            </w:pPr>
            <w:r w:rsidRPr="00D95E51">
              <w:rPr>
                <w:sz w:val="22"/>
                <w:szCs w:val="22"/>
              </w:rPr>
              <w:t>-4,9</w:t>
            </w:r>
          </w:p>
        </w:tc>
        <w:tc>
          <w:tcPr>
            <w:tcW w:w="964" w:type="dxa"/>
            <w:shd w:val="clear" w:color="auto" w:fill="auto"/>
          </w:tcPr>
          <w:p w14:paraId="0DA4EE45" w14:textId="77777777" w:rsidR="00534EE3" w:rsidRPr="00D95E51" w:rsidRDefault="00534EE3" w:rsidP="00E95DF5">
            <w:pPr>
              <w:tabs>
                <w:tab w:val="left" w:pos="684"/>
              </w:tabs>
              <w:autoSpaceDE w:val="0"/>
              <w:autoSpaceDN w:val="0"/>
              <w:adjustRightInd w:val="0"/>
              <w:spacing w:line="312" w:lineRule="auto"/>
              <w:ind w:right="49" w:hanging="82"/>
              <w:jc w:val="center"/>
              <w:rPr>
                <w:sz w:val="22"/>
                <w:szCs w:val="22"/>
              </w:rPr>
            </w:pPr>
          </w:p>
        </w:tc>
      </w:tr>
      <w:tr w:rsidR="00534EE3" w:rsidRPr="00D95E51" w14:paraId="31311604" w14:textId="77777777" w:rsidTr="00E95DF5">
        <w:trPr>
          <w:trHeight w:val="54"/>
        </w:trPr>
        <w:tc>
          <w:tcPr>
            <w:tcW w:w="2028" w:type="dxa"/>
            <w:shd w:val="clear" w:color="auto" w:fill="auto"/>
            <w:hideMark/>
          </w:tcPr>
          <w:p w14:paraId="6C984A7D" w14:textId="77777777" w:rsidR="00534EE3" w:rsidRPr="00D95E51" w:rsidRDefault="00534EE3" w:rsidP="00E95DF5">
            <w:pPr>
              <w:spacing w:line="312" w:lineRule="auto"/>
              <w:ind w:right="49"/>
              <w:jc w:val="both"/>
              <w:rPr>
                <w:b/>
                <w:bCs/>
                <w:sz w:val="22"/>
                <w:szCs w:val="22"/>
              </w:rPr>
            </w:pPr>
            <w:r w:rsidRPr="00D95E51">
              <w:rPr>
                <w:b/>
                <w:bCs/>
                <w:sz w:val="22"/>
                <w:szCs w:val="22"/>
              </w:rPr>
              <w:t>NNT</w:t>
            </w:r>
          </w:p>
        </w:tc>
        <w:tc>
          <w:tcPr>
            <w:tcW w:w="3285" w:type="dxa"/>
            <w:gridSpan w:val="4"/>
            <w:shd w:val="clear" w:color="auto" w:fill="auto"/>
            <w:hideMark/>
          </w:tcPr>
          <w:p w14:paraId="296E9D9D" w14:textId="77777777" w:rsidR="00534EE3" w:rsidRPr="00D95E51" w:rsidRDefault="00534EE3" w:rsidP="00E95DF5">
            <w:pPr>
              <w:tabs>
                <w:tab w:val="left" w:pos="684"/>
              </w:tabs>
              <w:spacing w:line="312" w:lineRule="auto"/>
              <w:ind w:right="49" w:hanging="82"/>
              <w:jc w:val="center"/>
              <w:rPr>
                <w:sz w:val="22"/>
                <w:szCs w:val="22"/>
              </w:rPr>
            </w:pPr>
            <w:r w:rsidRPr="00D95E51">
              <w:rPr>
                <w:sz w:val="22"/>
                <w:szCs w:val="22"/>
              </w:rPr>
              <w:t>-20,41</w:t>
            </w:r>
          </w:p>
        </w:tc>
        <w:tc>
          <w:tcPr>
            <w:tcW w:w="964" w:type="dxa"/>
            <w:shd w:val="clear" w:color="auto" w:fill="auto"/>
          </w:tcPr>
          <w:p w14:paraId="13A161C9" w14:textId="77777777" w:rsidR="00534EE3" w:rsidRPr="00D95E51" w:rsidRDefault="00534EE3" w:rsidP="00E95DF5">
            <w:pPr>
              <w:tabs>
                <w:tab w:val="left" w:pos="684"/>
              </w:tabs>
              <w:autoSpaceDE w:val="0"/>
              <w:autoSpaceDN w:val="0"/>
              <w:adjustRightInd w:val="0"/>
              <w:spacing w:line="312" w:lineRule="auto"/>
              <w:ind w:right="49" w:hanging="82"/>
              <w:jc w:val="center"/>
              <w:rPr>
                <w:sz w:val="22"/>
                <w:szCs w:val="22"/>
              </w:rPr>
            </w:pPr>
          </w:p>
        </w:tc>
      </w:tr>
      <w:tr w:rsidR="00534EE3" w:rsidRPr="00D95E51" w14:paraId="513B4E97" w14:textId="77777777" w:rsidTr="00E95DF5">
        <w:trPr>
          <w:trHeight w:val="54"/>
        </w:trPr>
        <w:tc>
          <w:tcPr>
            <w:tcW w:w="2028" w:type="dxa"/>
            <w:shd w:val="clear" w:color="auto" w:fill="auto"/>
            <w:vAlign w:val="center"/>
          </w:tcPr>
          <w:p w14:paraId="4326618F" w14:textId="77777777" w:rsidR="00534EE3" w:rsidRPr="00D95E51" w:rsidRDefault="00534EE3" w:rsidP="00E95DF5">
            <w:pPr>
              <w:autoSpaceDE w:val="0"/>
              <w:autoSpaceDN w:val="0"/>
              <w:adjustRightInd w:val="0"/>
              <w:spacing w:line="312" w:lineRule="auto"/>
              <w:ind w:right="49"/>
              <w:jc w:val="both"/>
              <w:rPr>
                <w:b/>
                <w:bCs/>
                <w:sz w:val="22"/>
                <w:szCs w:val="22"/>
              </w:rPr>
            </w:pPr>
            <w:r w:rsidRPr="00D95E51">
              <w:rPr>
                <w:b/>
                <w:bCs/>
                <w:sz w:val="22"/>
                <w:szCs w:val="22"/>
              </w:rPr>
              <w:lastRenderedPageBreak/>
              <w:t>Chỉ số</w:t>
            </w:r>
          </w:p>
        </w:tc>
        <w:tc>
          <w:tcPr>
            <w:tcW w:w="1641" w:type="dxa"/>
            <w:gridSpan w:val="2"/>
            <w:shd w:val="clear" w:color="auto" w:fill="auto"/>
            <w:vAlign w:val="center"/>
          </w:tcPr>
          <w:p w14:paraId="32797714" w14:textId="77777777" w:rsidR="00534EE3" w:rsidRPr="00D95E51" w:rsidRDefault="00534EE3" w:rsidP="00E95DF5">
            <w:pPr>
              <w:autoSpaceDE w:val="0"/>
              <w:autoSpaceDN w:val="0"/>
              <w:adjustRightInd w:val="0"/>
              <w:spacing w:line="312" w:lineRule="auto"/>
              <w:ind w:right="49"/>
              <w:jc w:val="center"/>
              <w:rPr>
                <w:b/>
                <w:bCs/>
                <w:sz w:val="22"/>
                <w:szCs w:val="22"/>
              </w:rPr>
            </w:pPr>
            <w:r w:rsidRPr="00D95E51">
              <w:rPr>
                <w:b/>
                <w:bCs/>
                <w:sz w:val="22"/>
                <w:szCs w:val="22"/>
              </w:rPr>
              <w:t>Nhóm chứng</w:t>
            </w:r>
          </w:p>
        </w:tc>
        <w:tc>
          <w:tcPr>
            <w:tcW w:w="1643" w:type="dxa"/>
            <w:gridSpan w:val="2"/>
            <w:shd w:val="clear" w:color="auto" w:fill="auto"/>
            <w:vAlign w:val="center"/>
          </w:tcPr>
          <w:p w14:paraId="78DA02B8" w14:textId="77777777" w:rsidR="00534EE3" w:rsidRPr="00D95E51" w:rsidRDefault="00534EE3" w:rsidP="00E95DF5">
            <w:pPr>
              <w:tabs>
                <w:tab w:val="left" w:pos="684"/>
              </w:tabs>
              <w:autoSpaceDE w:val="0"/>
              <w:autoSpaceDN w:val="0"/>
              <w:adjustRightInd w:val="0"/>
              <w:spacing w:line="312" w:lineRule="auto"/>
              <w:ind w:right="49" w:hanging="82"/>
              <w:jc w:val="center"/>
              <w:rPr>
                <w:b/>
                <w:bCs/>
                <w:sz w:val="22"/>
                <w:szCs w:val="22"/>
              </w:rPr>
            </w:pPr>
            <w:r w:rsidRPr="00D95E51">
              <w:rPr>
                <w:b/>
                <w:bCs/>
                <w:sz w:val="22"/>
                <w:szCs w:val="22"/>
              </w:rPr>
              <w:t>Nhóm bổ sung Fe+Zn</w:t>
            </w:r>
          </w:p>
        </w:tc>
        <w:tc>
          <w:tcPr>
            <w:tcW w:w="964" w:type="dxa"/>
            <w:shd w:val="clear" w:color="auto" w:fill="auto"/>
            <w:vAlign w:val="center"/>
          </w:tcPr>
          <w:p w14:paraId="5EA73F7C" w14:textId="77777777" w:rsidR="00534EE3" w:rsidRPr="00D95E51" w:rsidRDefault="00534EE3" w:rsidP="00E95DF5">
            <w:pPr>
              <w:tabs>
                <w:tab w:val="left" w:pos="684"/>
              </w:tabs>
              <w:spacing w:line="312" w:lineRule="auto"/>
              <w:ind w:right="49" w:hanging="82"/>
              <w:jc w:val="center"/>
              <w:rPr>
                <w:b/>
                <w:bCs/>
                <w:sz w:val="22"/>
                <w:szCs w:val="22"/>
              </w:rPr>
            </w:pPr>
            <w:r w:rsidRPr="00D95E51">
              <w:rPr>
                <w:b/>
                <w:bCs/>
                <w:sz w:val="22"/>
                <w:szCs w:val="22"/>
              </w:rPr>
              <w:t>p</w:t>
            </w:r>
          </w:p>
        </w:tc>
      </w:tr>
      <w:tr w:rsidR="00534EE3" w:rsidRPr="00D95E51" w14:paraId="256B675C" w14:textId="77777777" w:rsidTr="00E95DF5">
        <w:trPr>
          <w:trHeight w:val="54"/>
        </w:trPr>
        <w:tc>
          <w:tcPr>
            <w:tcW w:w="2028" w:type="dxa"/>
            <w:shd w:val="clear" w:color="auto" w:fill="auto"/>
            <w:hideMark/>
          </w:tcPr>
          <w:p w14:paraId="6B42C8D3" w14:textId="77777777" w:rsidR="00534EE3" w:rsidRPr="00D95E51" w:rsidRDefault="00534EE3" w:rsidP="00E95DF5">
            <w:pPr>
              <w:autoSpaceDE w:val="0"/>
              <w:autoSpaceDN w:val="0"/>
              <w:adjustRightInd w:val="0"/>
              <w:spacing w:line="312" w:lineRule="auto"/>
              <w:ind w:right="49"/>
              <w:jc w:val="both"/>
              <w:rPr>
                <w:b/>
                <w:bCs/>
                <w:sz w:val="22"/>
                <w:szCs w:val="22"/>
              </w:rPr>
            </w:pPr>
            <w:r w:rsidRPr="00D95E51">
              <w:rPr>
                <w:b/>
                <w:bCs/>
                <w:sz w:val="22"/>
                <w:szCs w:val="22"/>
              </w:rPr>
              <w:t>Thiếu sắt</w:t>
            </w:r>
          </w:p>
        </w:tc>
        <w:tc>
          <w:tcPr>
            <w:tcW w:w="771" w:type="dxa"/>
            <w:shd w:val="clear" w:color="auto" w:fill="auto"/>
            <w:hideMark/>
          </w:tcPr>
          <w:p w14:paraId="7C1F3BE9" w14:textId="77777777" w:rsidR="00534EE3" w:rsidRPr="00D95E51" w:rsidRDefault="00534EE3" w:rsidP="00E95DF5">
            <w:pPr>
              <w:autoSpaceDE w:val="0"/>
              <w:autoSpaceDN w:val="0"/>
              <w:adjustRightInd w:val="0"/>
              <w:spacing w:line="312" w:lineRule="auto"/>
              <w:ind w:right="49"/>
              <w:jc w:val="center"/>
              <w:rPr>
                <w:sz w:val="22"/>
                <w:szCs w:val="22"/>
              </w:rPr>
            </w:pPr>
            <w:r w:rsidRPr="00D95E51">
              <w:rPr>
                <w:sz w:val="22"/>
                <w:szCs w:val="22"/>
              </w:rPr>
              <w:t>9</w:t>
            </w:r>
          </w:p>
        </w:tc>
        <w:tc>
          <w:tcPr>
            <w:tcW w:w="870" w:type="dxa"/>
            <w:shd w:val="clear" w:color="auto" w:fill="auto"/>
            <w:hideMark/>
          </w:tcPr>
          <w:p w14:paraId="554A6430" w14:textId="77777777" w:rsidR="00534EE3" w:rsidRPr="00D95E51" w:rsidRDefault="00534EE3" w:rsidP="00E95DF5">
            <w:pPr>
              <w:autoSpaceDE w:val="0"/>
              <w:autoSpaceDN w:val="0"/>
              <w:adjustRightInd w:val="0"/>
              <w:spacing w:line="312" w:lineRule="auto"/>
              <w:ind w:right="49"/>
              <w:jc w:val="center"/>
              <w:rPr>
                <w:sz w:val="22"/>
                <w:szCs w:val="22"/>
              </w:rPr>
            </w:pPr>
            <w:r w:rsidRPr="00D95E51">
              <w:rPr>
                <w:sz w:val="22"/>
                <w:szCs w:val="22"/>
              </w:rPr>
              <w:t>9,1%</w:t>
            </w:r>
          </w:p>
        </w:tc>
        <w:tc>
          <w:tcPr>
            <w:tcW w:w="771" w:type="dxa"/>
            <w:shd w:val="clear" w:color="auto" w:fill="auto"/>
            <w:hideMark/>
          </w:tcPr>
          <w:p w14:paraId="21F259BC" w14:textId="77777777" w:rsidR="00534EE3" w:rsidRPr="00D95E51" w:rsidRDefault="00534EE3" w:rsidP="00E95DF5">
            <w:pPr>
              <w:tabs>
                <w:tab w:val="left" w:pos="684"/>
              </w:tabs>
              <w:autoSpaceDE w:val="0"/>
              <w:autoSpaceDN w:val="0"/>
              <w:adjustRightInd w:val="0"/>
              <w:spacing w:line="312" w:lineRule="auto"/>
              <w:ind w:right="49" w:hanging="82"/>
              <w:jc w:val="center"/>
              <w:rPr>
                <w:sz w:val="22"/>
                <w:szCs w:val="22"/>
              </w:rPr>
            </w:pPr>
            <w:r w:rsidRPr="00D95E51">
              <w:rPr>
                <w:sz w:val="22"/>
                <w:szCs w:val="22"/>
              </w:rPr>
              <w:t>5</w:t>
            </w:r>
          </w:p>
        </w:tc>
        <w:tc>
          <w:tcPr>
            <w:tcW w:w="872" w:type="dxa"/>
            <w:shd w:val="clear" w:color="auto" w:fill="auto"/>
            <w:hideMark/>
          </w:tcPr>
          <w:p w14:paraId="69694208" w14:textId="77777777" w:rsidR="00534EE3" w:rsidRPr="00D95E51" w:rsidRDefault="00534EE3" w:rsidP="00E95DF5">
            <w:pPr>
              <w:tabs>
                <w:tab w:val="left" w:pos="684"/>
              </w:tabs>
              <w:autoSpaceDE w:val="0"/>
              <w:autoSpaceDN w:val="0"/>
              <w:adjustRightInd w:val="0"/>
              <w:spacing w:line="312" w:lineRule="auto"/>
              <w:ind w:right="49" w:hanging="82"/>
              <w:jc w:val="center"/>
              <w:rPr>
                <w:sz w:val="22"/>
                <w:szCs w:val="22"/>
              </w:rPr>
            </w:pPr>
            <w:r w:rsidRPr="00D95E51">
              <w:rPr>
                <w:sz w:val="22"/>
                <w:szCs w:val="22"/>
              </w:rPr>
              <w:t>5,2%</w:t>
            </w:r>
          </w:p>
        </w:tc>
        <w:tc>
          <w:tcPr>
            <w:tcW w:w="964" w:type="dxa"/>
            <w:vMerge w:val="restart"/>
            <w:shd w:val="clear" w:color="auto" w:fill="auto"/>
            <w:hideMark/>
          </w:tcPr>
          <w:p w14:paraId="06172AB7" w14:textId="77777777" w:rsidR="00534EE3" w:rsidRPr="00D95E51" w:rsidRDefault="00534EE3" w:rsidP="00E95DF5">
            <w:pPr>
              <w:tabs>
                <w:tab w:val="left" w:pos="684"/>
              </w:tabs>
              <w:autoSpaceDE w:val="0"/>
              <w:autoSpaceDN w:val="0"/>
              <w:adjustRightInd w:val="0"/>
              <w:spacing w:line="312" w:lineRule="auto"/>
              <w:ind w:right="49" w:hanging="82"/>
              <w:jc w:val="center"/>
              <w:rPr>
                <w:sz w:val="22"/>
                <w:szCs w:val="22"/>
              </w:rPr>
            </w:pPr>
            <w:r w:rsidRPr="00D95E51">
              <w:rPr>
                <w:sz w:val="22"/>
                <w:szCs w:val="22"/>
              </w:rPr>
              <w:t>0,222</w:t>
            </w:r>
          </w:p>
          <w:p w14:paraId="41CE60FB" w14:textId="77777777" w:rsidR="00534EE3" w:rsidRPr="00D95E51" w:rsidRDefault="00534EE3" w:rsidP="00E95DF5">
            <w:pPr>
              <w:tabs>
                <w:tab w:val="left" w:pos="684"/>
              </w:tabs>
              <w:autoSpaceDE w:val="0"/>
              <w:autoSpaceDN w:val="0"/>
              <w:adjustRightInd w:val="0"/>
              <w:spacing w:line="312" w:lineRule="auto"/>
              <w:ind w:right="49" w:hanging="82"/>
              <w:jc w:val="center"/>
              <w:rPr>
                <w:sz w:val="22"/>
                <w:szCs w:val="22"/>
              </w:rPr>
            </w:pPr>
          </w:p>
        </w:tc>
      </w:tr>
      <w:tr w:rsidR="00534EE3" w:rsidRPr="00D95E51" w14:paraId="6FF26C22" w14:textId="77777777" w:rsidTr="00E95DF5">
        <w:trPr>
          <w:trHeight w:val="54"/>
        </w:trPr>
        <w:tc>
          <w:tcPr>
            <w:tcW w:w="2028" w:type="dxa"/>
            <w:shd w:val="clear" w:color="auto" w:fill="auto"/>
            <w:hideMark/>
          </w:tcPr>
          <w:p w14:paraId="2468F6A9" w14:textId="77777777" w:rsidR="00534EE3" w:rsidRPr="00D95E51" w:rsidRDefault="00534EE3" w:rsidP="00E95DF5">
            <w:pPr>
              <w:autoSpaceDE w:val="0"/>
              <w:autoSpaceDN w:val="0"/>
              <w:adjustRightInd w:val="0"/>
              <w:spacing w:line="312" w:lineRule="auto"/>
              <w:ind w:right="49"/>
              <w:jc w:val="both"/>
              <w:rPr>
                <w:b/>
                <w:bCs/>
                <w:sz w:val="22"/>
                <w:szCs w:val="22"/>
              </w:rPr>
            </w:pPr>
            <w:r w:rsidRPr="00D95E51">
              <w:rPr>
                <w:b/>
                <w:bCs/>
                <w:sz w:val="22"/>
                <w:szCs w:val="22"/>
              </w:rPr>
              <w:t>Không thiếu sắt</w:t>
            </w:r>
          </w:p>
        </w:tc>
        <w:tc>
          <w:tcPr>
            <w:tcW w:w="771" w:type="dxa"/>
            <w:shd w:val="clear" w:color="auto" w:fill="auto"/>
            <w:hideMark/>
          </w:tcPr>
          <w:p w14:paraId="69CB7ABF" w14:textId="77777777" w:rsidR="00534EE3" w:rsidRPr="00D95E51" w:rsidRDefault="00534EE3" w:rsidP="00E95DF5">
            <w:pPr>
              <w:autoSpaceDE w:val="0"/>
              <w:autoSpaceDN w:val="0"/>
              <w:adjustRightInd w:val="0"/>
              <w:spacing w:line="312" w:lineRule="auto"/>
              <w:ind w:right="49"/>
              <w:jc w:val="center"/>
              <w:rPr>
                <w:sz w:val="22"/>
                <w:szCs w:val="22"/>
              </w:rPr>
            </w:pPr>
            <w:r w:rsidRPr="00D95E51">
              <w:rPr>
                <w:sz w:val="22"/>
                <w:szCs w:val="22"/>
              </w:rPr>
              <w:t>90</w:t>
            </w:r>
          </w:p>
        </w:tc>
        <w:tc>
          <w:tcPr>
            <w:tcW w:w="870" w:type="dxa"/>
            <w:shd w:val="clear" w:color="auto" w:fill="auto"/>
            <w:hideMark/>
          </w:tcPr>
          <w:p w14:paraId="3E30EAEC" w14:textId="77777777" w:rsidR="00534EE3" w:rsidRPr="00D95E51" w:rsidRDefault="00534EE3" w:rsidP="00E95DF5">
            <w:pPr>
              <w:autoSpaceDE w:val="0"/>
              <w:autoSpaceDN w:val="0"/>
              <w:adjustRightInd w:val="0"/>
              <w:spacing w:line="312" w:lineRule="auto"/>
              <w:ind w:right="49"/>
              <w:jc w:val="center"/>
              <w:rPr>
                <w:sz w:val="22"/>
                <w:szCs w:val="22"/>
              </w:rPr>
            </w:pPr>
            <w:r w:rsidRPr="00D95E51">
              <w:rPr>
                <w:sz w:val="22"/>
                <w:szCs w:val="22"/>
              </w:rPr>
              <w:t>90,9%</w:t>
            </w:r>
          </w:p>
        </w:tc>
        <w:tc>
          <w:tcPr>
            <w:tcW w:w="771" w:type="dxa"/>
            <w:shd w:val="clear" w:color="auto" w:fill="auto"/>
            <w:hideMark/>
          </w:tcPr>
          <w:p w14:paraId="75B12B09" w14:textId="77777777" w:rsidR="00534EE3" w:rsidRPr="00D95E51" w:rsidRDefault="00534EE3" w:rsidP="00E95DF5">
            <w:pPr>
              <w:tabs>
                <w:tab w:val="left" w:pos="684"/>
              </w:tabs>
              <w:autoSpaceDE w:val="0"/>
              <w:autoSpaceDN w:val="0"/>
              <w:adjustRightInd w:val="0"/>
              <w:spacing w:line="312" w:lineRule="auto"/>
              <w:ind w:right="49" w:hanging="82"/>
              <w:jc w:val="center"/>
              <w:rPr>
                <w:sz w:val="22"/>
                <w:szCs w:val="22"/>
              </w:rPr>
            </w:pPr>
            <w:r w:rsidRPr="00D95E51">
              <w:rPr>
                <w:sz w:val="22"/>
                <w:szCs w:val="22"/>
              </w:rPr>
              <w:t>100</w:t>
            </w:r>
          </w:p>
        </w:tc>
        <w:tc>
          <w:tcPr>
            <w:tcW w:w="872" w:type="dxa"/>
            <w:shd w:val="clear" w:color="auto" w:fill="auto"/>
            <w:hideMark/>
          </w:tcPr>
          <w:p w14:paraId="28CCE72A" w14:textId="77777777" w:rsidR="00534EE3" w:rsidRPr="00D95E51" w:rsidRDefault="00534EE3" w:rsidP="00E95DF5">
            <w:pPr>
              <w:tabs>
                <w:tab w:val="left" w:pos="684"/>
              </w:tabs>
              <w:autoSpaceDE w:val="0"/>
              <w:autoSpaceDN w:val="0"/>
              <w:adjustRightInd w:val="0"/>
              <w:spacing w:line="312" w:lineRule="auto"/>
              <w:ind w:right="49" w:hanging="82"/>
              <w:jc w:val="center"/>
              <w:rPr>
                <w:sz w:val="22"/>
                <w:szCs w:val="22"/>
              </w:rPr>
            </w:pPr>
            <w:r w:rsidRPr="00D95E51">
              <w:rPr>
                <w:sz w:val="22"/>
                <w:szCs w:val="22"/>
              </w:rPr>
              <w:t>94,8%</w:t>
            </w:r>
          </w:p>
        </w:tc>
        <w:tc>
          <w:tcPr>
            <w:tcW w:w="964" w:type="dxa"/>
            <w:vMerge/>
            <w:shd w:val="clear" w:color="auto" w:fill="auto"/>
            <w:hideMark/>
          </w:tcPr>
          <w:p w14:paraId="57CD0981" w14:textId="77777777" w:rsidR="00534EE3" w:rsidRPr="00D95E51" w:rsidRDefault="00534EE3" w:rsidP="00E95DF5">
            <w:pPr>
              <w:tabs>
                <w:tab w:val="left" w:pos="684"/>
              </w:tabs>
              <w:spacing w:line="312" w:lineRule="auto"/>
              <w:ind w:right="49" w:hanging="82"/>
              <w:jc w:val="center"/>
              <w:rPr>
                <w:sz w:val="22"/>
                <w:szCs w:val="22"/>
              </w:rPr>
            </w:pPr>
          </w:p>
        </w:tc>
      </w:tr>
      <w:tr w:rsidR="00534EE3" w:rsidRPr="00D95E51" w14:paraId="1323A247" w14:textId="77777777" w:rsidTr="00E95DF5">
        <w:trPr>
          <w:trHeight w:val="54"/>
        </w:trPr>
        <w:tc>
          <w:tcPr>
            <w:tcW w:w="2028" w:type="dxa"/>
            <w:shd w:val="clear" w:color="auto" w:fill="auto"/>
            <w:hideMark/>
          </w:tcPr>
          <w:p w14:paraId="422B3F20" w14:textId="77777777" w:rsidR="00534EE3" w:rsidRPr="00D95E51" w:rsidRDefault="00534EE3" w:rsidP="00E95DF5">
            <w:pPr>
              <w:spacing w:line="312" w:lineRule="auto"/>
              <w:ind w:right="49"/>
              <w:jc w:val="both"/>
              <w:rPr>
                <w:b/>
                <w:bCs/>
                <w:sz w:val="22"/>
                <w:szCs w:val="22"/>
              </w:rPr>
            </w:pPr>
            <w:r w:rsidRPr="00D95E51">
              <w:rPr>
                <w:b/>
                <w:bCs/>
                <w:sz w:val="22"/>
                <w:szCs w:val="22"/>
              </w:rPr>
              <w:t>ARR</w:t>
            </w:r>
          </w:p>
        </w:tc>
        <w:tc>
          <w:tcPr>
            <w:tcW w:w="3285" w:type="dxa"/>
            <w:gridSpan w:val="4"/>
            <w:shd w:val="clear" w:color="auto" w:fill="auto"/>
            <w:hideMark/>
          </w:tcPr>
          <w:p w14:paraId="10218253" w14:textId="77777777" w:rsidR="00534EE3" w:rsidRPr="00D95E51" w:rsidRDefault="00534EE3" w:rsidP="00E95DF5">
            <w:pPr>
              <w:tabs>
                <w:tab w:val="left" w:pos="684"/>
              </w:tabs>
              <w:spacing w:line="312" w:lineRule="auto"/>
              <w:ind w:right="49" w:hanging="82"/>
              <w:jc w:val="center"/>
              <w:rPr>
                <w:sz w:val="22"/>
                <w:szCs w:val="22"/>
              </w:rPr>
            </w:pPr>
            <w:r w:rsidRPr="00D95E51">
              <w:rPr>
                <w:sz w:val="22"/>
                <w:szCs w:val="22"/>
              </w:rPr>
              <w:t>4,3</w:t>
            </w:r>
          </w:p>
        </w:tc>
        <w:tc>
          <w:tcPr>
            <w:tcW w:w="964" w:type="dxa"/>
            <w:shd w:val="clear" w:color="auto" w:fill="auto"/>
          </w:tcPr>
          <w:p w14:paraId="70915981" w14:textId="77777777" w:rsidR="00534EE3" w:rsidRPr="00D95E51" w:rsidRDefault="00534EE3" w:rsidP="00E95DF5">
            <w:pPr>
              <w:tabs>
                <w:tab w:val="left" w:pos="684"/>
              </w:tabs>
              <w:autoSpaceDE w:val="0"/>
              <w:autoSpaceDN w:val="0"/>
              <w:adjustRightInd w:val="0"/>
              <w:spacing w:line="312" w:lineRule="auto"/>
              <w:ind w:right="49" w:hanging="82"/>
              <w:jc w:val="center"/>
              <w:rPr>
                <w:sz w:val="22"/>
                <w:szCs w:val="22"/>
              </w:rPr>
            </w:pPr>
          </w:p>
        </w:tc>
      </w:tr>
      <w:tr w:rsidR="00534EE3" w:rsidRPr="00D95E51" w14:paraId="4E73CF67" w14:textId="77777777" w:rsidTr="00E95DF5">
        <w:trPr>
          <w:trHeight w:val="54"/>
        </w:trPr>
        <w:tc>
          <w:tcPr>
            <w:tcW w:w="2028" w:type="dxa"/>
            <w:shd w:val="clear" w:color="auto" w:fill="auto"/>
            <w:hideMark/>
          </w:tcPr>
          <w:p w14:paraId="59152D5F" w14:textId="77777777" w:rsidR="00534EE3" w:rsidRPr="00D95E51" w:rsidRDefault="00534EE3" w:rsidP="00E95DF5">
            <w:pPr>
              <w:spacing w:line="312" w:lineRule="auto"/>
              <w:ind w:right="49"/>
              <w:jc w:val="both"/>
              <w:rPr>
                <w:b/>
                <w:bCs/>
                <w:sz w:val="22"/>
                <w:szCs w:val="22"/>
              </w:rPr>
            </w:pPr>
            <w:r w:rsidRPr="00D95E51">
              <w:rPr>
                <w:b/>
                <w:bCs/>
                <w:sz w:val="22"/>
                <w:szCs w:val="22"/>
              </w:rPr>
              <w:t>NNT</w:t>
            </w:r>
          </w:p>
        </w:tc>
        <w:tc>
          <w:tcPr>
            <w:tcW w:w="3285" w:type="dxa"/>
            <w:gridSpan w:val="4"/>
            <w:shd w:val="clear" w:color="auto" w:fill="auto"/>
            <w:hideMark/>
          </w:tcPr>
          <w:p w14:paraId="1C7A7C77" w14:textId="77777777" w:rsidR="00534EE3" w:rsidRPr="00D95E51" w:rsidRDefault="00534EE3" w:rsidP="00E95DF5">
            <w:pPr>
              <w:tabs>
                <w:tab w:val="left" w:pos="684"/>
              </w:tabs>
              <w:spacing w:line="312" w:lineRule="auto"/>
              <w:ind w:right="49" w:hanging="82"/>
              <w:jc w:val="center"/>
              <w:rPr>
                <w:sz w:val="22"/>
                <w:szCs w:val="22"/>
              </w:rPr>
            </w:pPr>
            <w:bookmarkStart w:id="33" w:name="_Hlk118557694"/>
            <w:bookmarkStart w:id="34" w:name="_Hlk118557720"/>
            <w:r w:rsidRPr="00D95E51">
              <w:rPr>
                <w:sz w:val="22"/>
                <w:szCs w:val="22"/>
              </w:rPr>
              <w:t>23</w:t>
            </w:r>
            <w:bookmarkEnd w:id="33"/>
            <w:r w:rsidRPr="00D95E51">
              <w:rPr>
                <w:sz w:val="22"/>
                <w:szCs w:val="22"/>
              </w:rPr>
              <w:t>,3</w:t>
            </w:r>
            <w:bookmarkEnd w:id="34"/>
          </w:p>
        </w:tc>
        <w:tc>
          <w:tcPr>
            <w:tcW w:w="964" w:type="dxa"/>
            <w:shd w:val="clear" w:color="auto" w:fill="auto"/>
          </w:tcPr>
          <w:p w14:paraId="2205AABD" w14:textId="77777777" w:rsidR="00534EE3" w:rsidRPr="00D95E51" w:rsidRDefault="00534EE3" w:rsidP="00E95DF5">
            <w:pPr>
              <w:tabs>
                <w:tab w:val="left" w:pos="684"/>
              </w:tabs>
              <w:autoSpaceDE w:val="0"/>
              <w:autoSpaceDN w:val="0"/>
              <w:adjustRightInd w:val="0"/>
              <w:spacing w:line="312" w:lineRule="auto"/>
              <w:ind w:right="49" w:hanging="82"/>
              <w:jc w:val="center"/>
              <w:rPr>
                <w:sz w:val="22"/>
                <w:szCs w:val="22"/>
              </w:rPr>
            </w:pPr>
          </w:p>
        </w:tc>
      </w:tr>
    </w:tbl>
    <w:p w14:paraId="4BE88BD7" w14:textId="77777777" w:rsidR="00984ED1" w:rsidRPr="00D95E51" w:rsidRDefault="00984ED1" w:rsidP="00A1659D">
      <w:pPr>
        <w:spacing w:line="280" w:lineRule="exact"/>
        <w:ind w:firstLine="426"/>
        <w:jc w:val="both"/>
        <w:rPr>
          <w:i/>
          <w:sz w:val="22"/>
          <w:szCs w:val="22"/>
        </w:rPr>
      </w:pPr>
      <w:proofErr w:type="gramStart"/>
      <w:r w:rsidRPr="00D95E51">
        <w:rPr>
          <w:i/>
          <w:sz w:val="22"/>
          <w:szCs w:val="22"/>
        </w:rPr>
        <w:t>p</w:t>
      </w:r>
      <w:proofErr w:type="gramEnd"/>
      <w:r w:rsidRPr="00D95E51">
        <w:rPr>
          <w:i/>
          <w:sz w:val="22"/>
          <w:szCs w:val="22"/>
        </w:rPr>
        <w:t>: so sánh nhóm sự thay đổi tỷ lệ giữa các nhóm, sử dụng kiểm định Chi-Square test.</w:t>
      </w:r>
    </w:p>
    <w:p w14:paraId="3349A6C0" w14:textId="77777777" w:rsidR="00984ED1" w:rsidRPr="00D95E51" w:rsidRDefault="00984ED1" w:rsidP="00A1659D">
      <w:pPr>
        <w:spacing w:line="280" w:lineRule="exact"/>
        <w:ind w:firstLine="426"/>
        <w:jc w:val="both"/>
        <w:rPr>
          <w:sz w:val="22"/>
          <w:szCs w:val="22"/>
        </w:rPr>
      </w:pPr>
      <w:r w:rsidRPr="00D95E51">
        <w:rPr>
          <w:sz w:val="22"/>
          <w:szCs w:val="22"/>
        </w:rPr>
        <w:t>Kết quả nghiên cứu cho thấy: sau can thiệp, tỷ lệ thiếu sắt của nhóm chứng là 9,1%, nhóm bổ sung kẽm là 14,0%, nhóm bổ sung sắt - kẽm là 5,2% (p =0,222).</w:t>
      </w:r>
    </w:p>
    <w:p w14:paraId="2B8EDFF4" w14:textId="77777777" w:rsidR="00984ED1" w:rsidRPr="00D95E51" w:rsidRDefault="00984ED1" w:rsidP="00A1659D">
      <w:pPr>
        <w:spacing w:line="280" w:lineRule="exact"/>
        <w:ind w:firstLine="426"/>
        <w:jc w:val="both"/>
        <w:rPr>
          <w:sz w:val="22"/>
          <w:szCs w:val="22"/>
        </w:rPr>
      </w:pPr>
      <w:r w:rsidRPr="00D95E51">
        <w:rPr>
          <w:sz w:val="22"/>
          <w:szCs w:val="22"/>
        </w:rPr>
        <w:t>Hiệu quả giảm nguy cơ tuyệt đối với thiếu sắt giữa nhóm chứng và nhóm sắt - kẽm là 6</w:t>
      </w:r>
      <w:proofErr w:type="gramStart"/>
      <w:r w:rsidRPr="00D95E51">
        <w:rPr>
          <w:sz w:val="22"/>
          <w:szCs w:val="22"/>
        </w:rPr>
        <w:t>,5</w:t>
      </w:r>
      <w:proofErr w:type="gramEnd"/>
      <w:r w:rsidRPr="00D95E51">
        <w:rPr>
          <w:sz w:val="22"/>
          <w:szCs w:val="22"/>
        </w:rPr>
        <w:t>%. Cứ 23 trẻ em sử dụng bánh bổ sung sắt + kẽm thiếu máu thì có một trẻ không thiếu săt (NNT = 23</w:t>
      </w:r>
      <w:proofErr w:type="gramStart"/>
      <w:r w:rsidRPr="00D95E51">
        <w:rPr>
          <w:sz w:val="22"/>
          <w:szCs w:val="22"/>
        </w:rPr>
        <w:t>,3</w:t>
      </w:r>
      <w:proofErr w:type="gramEnd"/>
      <w:r w:rsidRPr="00D95E51">
        <w:rPr>
          <w:sz w:val="22"/>
          <w:szCs w:val="22"/>
        </w:rPr>
        <w:t xml:space="preserve">). </w:t>
      </w:r>
    </w:p>
    <w:p w14:paraId="5F0F4B55" w14:textId="53662FA3" w:rsidR="00984ED1" w:rsidRPr="00D95E51" w:rsidRDefault="00984ED1" w:rsidP="00A1659D">
      <w:pPr>
        <w:spacing w:before="120"/>
        <w:ind w:firstLine="426"/>
        <w:jc w:val="both"/>
        <w:rPr>
          <w:b/>
          <w:spacing w:val="-6"/>
          <w:sz w:val="22"/>
          <w:szCs w:val="22"/>
        </w:rPr>
      </w:pPr>
      <w:r w:rsidRPr="00D95E51">
        <w:rPr>
          <w:b/>
          <w:spacing w:val="-6"/>
          <w:sz w:val="22"/>
          <w:szCs w:val="22"/>
        </w:rPr>
        <w:t>3.</w:t>
      </w:r>
      <w:r w:rsidR="007B4414">
        <w:rPr>
          <w:b/>
          <w:spacing w:val="-6"/>
          <w:sz w:val="22"/>
          <w:szCs w:val="22"/>
        </w:rPr>
        <w:t>3</w:t>
      </w:r>
      <w:r w:rsidRPr="00D95E51">
        <w:rPr>
          <w:b/>
          <w:spacing w:val="-6"/>
          <w:sz w:val="22"/>
          <w:szCs w:val="22"/>
        </w:rPr>
        <w:t>. Kết quả cải thiện tình trạng thiếu kẽm sau 6 tháng can thiệp</w:t>
      </w:r>
    </w:p>
    <w:p w14:paraId="68C9D2A5" w14:textId="693A9190" w:rsidR="00AA7322" w:rsidRPr="00FE11E2" w:rsidRDefault="00984ED1" w:rsidP="00A1659D">
      <w:pPr>
        <w:spacing w:before="120"/>
        <w:ind w:firstLine="426"/>
        <w:jc w:val="both"/>
        <w:rPr>
          <w:b/>
          <w:sz w:val="22"/>
          <w:szCs w:val="22"/>
        </w:rPr>
      </w:pPr>
      <w:r w:rsidRPr="00FE11E2">
        <w:rPr>
          <w:b/>
          <w:sz w:val="22"/>
          <w:szCs w:val="22"/>
        </w:rPr>
        <w:t xml:space="preserve">Bảng 3. </w:t>
      </w:r>
      <w:r w:rsidR="008D4648" w:rsidRPr="00FE11E2">
        <w:rPr>
          <w:b/>
          <w:sz w:val="22"/>
          <w:szCs w:val="22"/>
        </w:rPr>
        <w:t>8</w:t>
      </w:r>
      <w:r w:rsidRPr="00FE11E2">
        <w:rPr>
          <w:b/>
          <w:sz w:val="22"/>
          <w:szCs w:val="22"/>
        </w:rPr>
        <w:t xml:space="preserve">. Thay đổi nồng độ kẽm huyết thanh của đối tượng nghiên cứu </w:t>
      </w:r>
    </w:p>
    <w:tbl>
      <w:tblPr>
        <w:tblW w:w="6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383"/>
        <w:gridCol w:w="1424"/>
        <w:gridCol w:w="1304"/>
        <w:gridCol w:w="785"/>
      </w:tblGrid>
      <w:tr w:rsidR="00AD5D3C" w:rsidRPr="00D95E51" w14:paraId="7BD9502F" w14:textId="77777777" w:rsidTr="002E2A19">
        <w:trPr>
          <w:trHeight w:val="387"/>
        </w:trPr>
        <w:tc>
          <w:tcPr>
            <w:tcW w:w="1271" w:type="dxa"/>
            <w:vMerge w:val="restart"/>
            <w:shd w:val="clear" w:color="auto" w:fill="auto"/>
          </w:tcPr>
          <w:p w14:paraId="21A2EAD2" w14:textId="77777777" w:rsidR="00AD5D3C" w:rsidRPr="00D95E51" w:rsidRDefault="00AD5D3C" w:rsidP="000606E3">
            <w:pPr>
              <w:spacing w:line="280" w:lineRule="exact"/>
              <w:ind w:right="51"/>
              <w:jc w:val="both"/>
              <w:rPr>
                <w:b/>
                <w:bCs/>
                <w:sz w:val="22"/>
                <w:szCs w:val="22"/>
                <w:lang w:val="it-IT"/>
              </w:rPr>
            </w:pPr>
            <w:r w:rsidRPr="00D95E51">
              <w:rPr>
                <w:b/>
                <w:bCs/>
                <w:sz w:val="22"/>
                <w:szCs w:val="22"/>
                <w:lang w:val="it-IT"/>
              </w:rPr>
              <w:t xml:space="preserve">Nồng độ kẽm huyết thanh </w:t>
            </w:r>
          </w:p>
          <w:p w14:paraId="02173CD4" w14:textId="77777777" w:rsidR="00AD5D3C" w:rsidRPr="00D95E51" w:rsidRDefault="00AD5D3C" w:rsidP="000606E3">
            <w:pPr>
              <w:spacing w:line="280" w:lineRule="exact"/>
              <w:ind w:right="51"/>
              <w:jc w:val="both"/>
              <w:rPr>
                <w:b/>
                <w:bCs/>
                <w:sz w:val="22"/>
                <w:szCs w:val="22"/>
                <w:lang w:val="it-IT"/>
              </w:rPr>
            </w:pPr>
            <w:bookmarkStart w:id="35" w:name="_Hlk147991261"/>
            <w:r w:rsidRPr="00D95E51">
              <w:rPr>
                <w:b/>
                <w:bCs/>
                <w:sz w:val="22"/>
                <w:szCs w:val="22"/>
              </w:rPr>
              <w:t>(</w:t>
            </w:r>
            <w:r w:rsidRPr="00D95E51">
              <w:rPr>
                <w:b/>
                <w:bCs/>
                <w:sz w:val="22"/>
                <w:szCs w:val="22"/>
              </w:rPr>
              <w:sym w:font="Symbol" w:char="F06D"/>
            </w:r>
            <w:r w:rsidRPr="00D95E51">
              <w:rPr>
                <w:b/>
                <w:bCs/>
                <w:sz w:val="22"/>
                <w:szCs w:val="22"/>
                <w:lang w:val="it-IT"/>
              </w:rPr>
              <w:t>mol/L</w:t>
            </w:r>
            <w:bookmarkEnd w:id="35"/>
            <w:r w:rsidRPr="00D95E51">
              <w:rPr>
                <w:b/>
                <w:bCs/>
                <w:sz w:val="22"/>
                <w:szCs w:val="22"/>
                <w:lang w:val="it-IT"/>
              </w:rPr>
              <w:t>)</w:t>
            </w:r>
          </w:p>
        </w:tc>
        <w:tc>
          <w:tcPr>
            <w:tcW w:w="4111" w:type="dxa"/>
            <w:gridSpan w:val="3"/>
            <w:shd w:val="clear" w:color="auto" w:fill="auto"/>
          </w:tcPr>
          <w:p w14:paraId="50854FE1" w14:textId="77777777" w:rsidR="00AD5D3C" w:rsidRPr="00D95E51" w:rsidRDefault="00AD5D3C" w:rsidP="000606E3">
            <w:pPr>
              <w:spacing w:line="280" w:lineRule="exact"/>
              <w:ind w:right="51"/>
              <w:jc w:val="center"/>
              <w:rPr>
                <w:b/>
                <w:bCs/>
                <w:sz w:val="22"/>
                <w:szCs w:val="22"/>
              </w:rPr>
            </w:pPr>
            <w:r w:rsidRPr="00D95E51">
              <w:rPr>
                <w:b/>
                <w:bCs/>
                <w:sz w:val="22"/>
                <w:szCs w:val="22"/>
              </w:rPr>
              <w:t>Nhóm nghiên cứu</w:t>
            </w:r>
          </w:p>
        </w:tc>
        <w:tc>
          <w:tcPr>
            <w:tcW w:w="785" w:type="dxa"/>
            <w:vMerge w:val="restart"/>
            <w:shd w:val="clear" w:color="auto" w:fill="auto"/>
            <w:vAlign w:val="center"/>
          </w:tcPr>
          <w:p w14:paraId="255653CB" w14:textId="77777777" w:rsidR="00AD5D3C" w:rsidRPr="00D95E51" w:rsidRDefault="00AD5D3C" w:rsidP="000606E3">
            <w:pPr>
              <w:spacing w:line="280" w:lineRule="exact"/>
              <w:ind w:right="51"/>
              <w:jc w:val="center"/>
              <w:rPr>
                <w:sz w:val="22"/>
                <w:szCs w:val="22"/>
                <w:vertAlign w:val="superscript"/>
              </w:rPr>
            </w:pPr>
            <w:r w:rsidRPr="00D95E51">
              <w:rPr>
                <w:sz w:val="22"/>
                <w:szCs w:val="22"/>
              </w:rPr>
              <w:t>p</w:t>
            </w:r>
            <w:r w:rsidRPr="00D95E51">
              <w:rPr>
                <w:sz w:val="22"/>
                <w:szCs w:val="22"/>
                <w:vertAlign w:val="superscript"/>
              </w:rPr>
              <w:t>1</w:t>
            </w:r>
          </w:p>
        </w:tc>
      </w:tr>
      <w:tr w:rsidR="00AD5D3C" w:rsidRPr="00D95E51" w14:paraId="2D1EDFBA" w14:textId="77777777" w:rsidTr="00604ED6">
        <w:trPr>
          <w:trHeight w:val="850"/>
        </w:trPr>
        <w:tc>
          <w:tcPr>
            <w:tcW w:w="1271" w:type="dxa"/>
            <w:vMerge/>
            <w:shd w:val="clear" w:color="auto" w:fill="auto"/>
          </w:tcPr>
          <w:p w14:paraId="5AE6192D" w14:textId="77777777" w:rsidR="00AD5D3C" w:rsidRPr="00D95E51" w:rsidRDefault="00AD5D3C" w:rsidP="000606E3">
            <w:pPr>
              <w:spacing w:line="280" w:lineRule="exact"/>
              <w:ind w:right="51"/>
              <w:jc w:val="both"/>
              <w:rPr>
                <w:sz w:val="22"/>
                <w:szCs w:val="22"/>
              </w:rPr>
            </w:pPr>
          </w:p>
        </w:tc>
        <w:tc>
          <w:tcPr>
            <w:tcW w:w="1383" w:type="dxa"/>
            <w:shd w:val="clear" w:color="auto" w:fill="auto"/>
          </w:tcPr>
          <w:p w14:paraId="4860C829" w14:textId="77777777" w:rsidR="00AD5D3C" w:rsidRPr="00D95E51" w:rsidRDefault="00AD5D3C" w:rsidP="000606E3">
            <w:pPr>
              <w:spacing w:line="280" w:lineRule="exact"/>
              <w:ind w:right="51"/>
              <w:jc w:val="center"/>
              <w:rPr>
                <w:sz w:val="22"/>
                <w:szCs w:val="22"/>
              </w:rPr>
            </w:pPr>
            <w:r w:rsidRPr="00D95E51">
              <w:rPr>
                <w:b/>
                <w:bCs/>
                <w:sz w:val="22"/>
                <w:szCs w:val="22"/>
              </w:rPr>
              <w:t>Nhóm chứng (n=99)</w:t>
            </w:r>
          </w:p>
        </w:tc>
        <w:tc>
          <w:tcPr>
            <w:tcW w:w="1424" w:type="dxa"/>
            <w:shd w:val="clear" w:color="auto" w:fill="auto"/>
          </w:tcPr>
          <w:p w14:paraId="43EBAD8D" w14:textId="77777777" w:rsidR="00AD5D3C" w:rsidRPr="00D95E51" w:rsidRDefault="00AD5D3C" w:rsidP="000606E3">
            <w:pPr>
              <w:spacing w:line="280" w:lineRule="exact"/>
              <w:ind w:right="51"/>
              <w:jc w:val="center"/>
              <w:rPr>
                <w:b/>
                <w:bCs/>
                <w:sz w:val="22"/>
                <w:szCs w:val="22"/>
              </w:rPr>
            </w:pPr>
            <w:r w:rsidRPr="00D95E51">
              <w:rPr>
                <w:b/>
                <w:bCs/>
                <w:sz w:val="22"/>
                <w:szCs w:val="22"/>
              </w:rPr>
              <w:t xml:space="preserve">Nhóm </w:t>
            </w:r>
            <w:r w:rsidR="00604ED6" w:rsidRPr="00D95E51">
              <w:rPr>
                <w:b/>
                <w:bCs/>
                <w:sz w:val="22"/>
                <w:szCs w:val="22"/>
              </w:rPr>
              <w:t>BS</w:t>
            </w:r>
            <w:r w:rsidRPr="00D95E51">
              <w:rPr>
                <w:b/>
                <w:bCs/>
                <w:sz w:val="22"/>
                <w:szCs w:val="22"/>
              </w:rPr>
              <w:t xml:space="preserve"> kẽm (n=93)</w:t>
            </w:r>
          </w:p>
        </w:tc>
        <w:tc>
          <w:tcPr>
            <w:tcW w:w="1304" w:type="dxa"/>
            <w:shd w:val="clear" w:color="auto" w:fill="auto"/>
          </w:tcPr>
          <w:p w14:paraId="436DE033" w14:textId="77777777" w:rsidR="00AD5D3C" w:rsidRPr="00D95E51" w:rsidRDefault="00AD5D3C" w:rsidP="000606E3">
            <w:pPr>
              <w:spacing w:line="280" w:lineRule="exact"/>
              <w:ind w:right="51"/>
              <w:jc w:val="center"/>
              <w:rPr>
                <w:b/>
                <w:bCs/>
                <w:sz w:val="22"/>
                <w:szCs w:val="22"/>
              </w:rPr>
            </w:pPr>
            <w:r w:rsidRPr="00D95E51">
              <w:rPr>
                <w:b/>
                <w:bCs/>
                <w:sz w:val="22"/>
                <w:szCs w:val="22"/>
              </w:rPr>
              <w:t xml:space="preserve">Nhóm </w:t>
            </w:r>
            <w:r w:rsidR="00604ED6" w:rsidRPr="00D95E51">
              <w:rPr>
                <w:b/>
                <w:bCs/>
                <w:sz w:val="22"/>
                <w:szCs w:val="22"/>
              </w:rPr>
              <w:t>BS</w:t>
            </w:r>
            <w:r w:rsidRPr="00D95E51">
              <w:rPr>
                <w:b/>
                <w:bCs/>
                <w:sz w:val="22"/>
                <w:szCs w:val="22"/>
              </w:rPr>
              <w:t xml:space="preserve"> sắt-kẽm (n=97)</w:t>
            </w:r>
          </w:p>
        </w:tc>
        <w:tc>
          <w:tcPr>
            <w:tcW w:w="785" w:type="dxa"/>
            <w:vMerge/>
            <w:shd w:val="clear" w:color="auto" w:fill="auto"/>
          </w:tcPr>
          <w:p w14:paraId="693EE688" w14:textId="77777777" w:rsidR="00AD5D3C" w:rsidRPr="00D95E51" w:rsidRDefault="00AD5D3C" w:rsidP="000606E3">
            <w:pPr>
              <w:spacing w:line="280" w:lineRule="exact"/>
              <w:ind w:right="51"/>
              <w:jc w:val="center"/>
              <w:rPr>
                <w:sz w:val="22"/>
                <w:szCs w:val="22"/>
              </w:rPr>
            </w:pPr>
          </w:p>
        </w:tc>
      </w:tr>
      <w:tr w:rsidR="00AD5D3C" w:rsidRPr="00D95E51" w14:paraId="1566ED9C" w14:textId="77777777" w:rsidTr="00AA7322">
        <w:trPr>
          <w:trHeight w:val="57"/>
        </w:trPr>
        <w:tc>
          <w:tcPr>
            <w:tcW w:w="1271" w:type="dxa"/>
            <w:shd w:val="clear" w:color="auto" w:fill="auto"/>
          </w:tcPr>
          <w:p w14:paraId="1479A0C4" w14:textId="77777777" w:rsidR="00AD5D3C" w:rsidRPr="00D95E51" w:rsidRDefault="00AD5D3C" w:rsidP="000606E3">
            <w:pPr>
              <w:spacing w:line="280" w:lineRule="exact"/>
              <w:ind w:right="51"/>
              <w:jc w:val="both"/>
              <w:rPr>
                <w:b/>
                <w:bCs/>
                <w:sz w:val="22"/>
                <w:szCs w:val="22"/>
              </w:rPr>
            </w:pPr>
            <w:r w:rsidRPr="00D95E51">
              <w:rPr>
                <w:b/>
                <w:bCs/>
                <w:sz w:val="22"/>
                <w:szCs w:val="22"/>
              </w:rPr>
              <w:t xml:space="preserve">Trước </w:t>
            </w:r>
            <w:r w:rsidR="00604ED6" w:rsidRPr="00D95E51">
              <w:rPr>
                <w:b/>
                <w:bCs/>
                <w:sz w:val="22"/>
                <w:szCs w:val="22"/>
              </w:rPr>
              <w:t>CT</w:t>
            </w:r>
            <w:r w:rsidRPr="00D95E51">
              <w:rPr>
                <w:b/>
                <w:bCs/>
                <w:sz w:val="22"/>
                <w:szCs w:val="22"/>
              </w:rPr>
              <w:t xml:space="preserve"> </w:t>
            </w:r>
          </w:p>
        </w:tc>
        <w:tc>
          <w:tcPr>
            <w:tcW w:w="1383" w:type="dxa"/>
            <w:shd w:val="clear" w:color="auto" w:fill="auto"/>
          </w:tcPr>
          <w:p w14:paraId="1919298A" w14:textId="77777777" w:rsidR="00AD5D3C" w:rsidRPr="00D95E51" w:rsidRDefault="00AD5D3C" w:rsidP="000606E3">
            <w:pPr>
              <w:spacing w:line="280" w:lineRule="exact"/>
              <w:ind w:right="51"/>
              <w:jc w:val="center"/>
              <w:rPr>
                <w:sz w:val="22"/>
                <w:szCs w:val="22"/>
              </w:rPr>
            </w:pPr>
            <w:r w:rsidRPr="00D95E51">
              <w:rPr>
                <w:sz w:val="22"/>
                <w:szCs w:val="22"/>
              </w:rPr>
              <w:t>9,16 ± 1,96</w:t>
            </w:r>
          </w:p>
        </w:tc>
        <w:tc>
          <w:tcPr>
            <w:tcW w:w="1424" w:type="dxa"/>
            <w:shd w:val="clear" w:color="auto" w:fill="auto"/>
          </w:tcPr>
          <w:p w14:paraId="755B5EA8" w14:textId="77777777" w:rsidR="00AD5D3C" w:rsidRPr="00D95E51" w:rsidRDefault="00AD5D3C" w:rsidP="000606E3">
            <w:pPr>
              <w:spacing w:line="280" w:lineRule="exact"/>
              <w:ind w:right="51"/>
              <w:jc w:val="center"/>
              <w:rPr>
                <w:sz w:val="22"/>
                <w:szCs w:val="22"/>
              </w:rPr>
            </w:pPr>
            <w:r w:rsidRPr="00D95E51">
              <w:rPr>
                <w:sz w:val="22"/>
                <w:szCs w:val="22"/>
              </w:rPr>
              <w:t>9,16 ± 1,66</w:t>
            </w:r>
          </w:p>
        </w:tc>
        <w:tc>
          <w:tcPr>
            <w:tcW w:w="1304" w:type="dxa"/>
            <w:shd w:val="clear" w:color="auto" w:fill="auto"/>
          </w:tcPr>
          <w:p w14:paraId="4D4B56D4" w14:textId="77777777" w:rsidR="00AD5D3C" w:rsidRPr="00D95E51" w:rsidRDefault="00AD5D3C" w:rsidP="000606E3">
            <w:pPr>
              <w:spacing w:line="280" w:lineRule="exact"/>
              <w:ind w:right="51"/>
              <w:jc w:val="center"/>
              <w:rPr>
                <w:sz w:val="22"/>
                <w:szCs w:val="22"/>
              </w:rPr>
            </w:pPr>
            <w:r w:rsidRPr="00D95E51">
              <w:rPr>
                <w:sz w:val="22"/>
                <w:szCs w:val="22"/>
              </w:rPr>
              <w:t>9,22 ± 1,75</w:t>
            </w:r>
          </w:p>
        </w:tc>
        <w:tc>
          <w:tcPr>
            <w:tcW w:w="785" w:type="dxa"/>
            <w:shd w:val="clear" w:color="auto" w:fill="auto"/>
          </w:tcPr>
          <w:p w14:paraId="5E4EF056" w14:textId="77777777" w:rsidR="00AD5D3C" w:rsidRPr="00D95E51" w:rsidRDefault="00AD5D3C" w:rsidP="000606E3">
            <w:pPr>
              <w:spacing w:line="280" w:lineRule="exact"/>
              <w:ind w:right="51"/>
              <w:jc w:val="center"/>
              <w:rPr>
                <w:sz w:val="22"/>
                <w:szCs w:val="22"/>
              </w:rPr>
            </w:pPr>
            <w:r w:rsidRPr="00D95E51">
              <w:rPr>
                <w:sz w:val="22"/>
                <w:szCs w:val="22"/>
              </w:rPr>
              <w:t>0,964</w:t>
            </w:r>
          </w:p>
        </w:tc>
      </w:tr>
      <w:tr w:rsidR="00AD5D3C" w:rsidRPr="00D95E51" w14:paraId="1741EA45" w14:textId="77777777" w:rsidTr="00AA7322">
        <w:trPr>
          <w:trHeight w:val="57"/>
        </w:trPr>
        <w:tc>
          <w:tcPr>
            <w:tcW w:w="1271" w:type="dxa"/>
            <w:shd w:val="clear" w:color="auto" w:fill="auto"/>
          </w:tcPr>
          <w:p w14:paraId="28B62F66" w14:textId="77777777" w:rsidR="00AD5D3C" w:rsidRPr="00D95E51" w:rsidRDefault="00AD5D3C" w:rsidP="000606E3">
            <w:pPr>
              <w:spacing w:line="280" w:lineRule="exact"/>
              <w:ind w:right="51"/>
              <w:jc w:val="both"/>
              <w:rPr>
                <w:b/>
                <w:bCs/>
                <w:sz w:val="22"/>
                <w:szCs w:val="22"/>
              </w:rPr>
            </w:pPr>
            <w:r w:rsidRPr="00D95E51">
              <w:rPr>
                <w:b/>
                <w:bCs/>
                <w:sz w:val="22"/>
                <w:szCs w:val="22"/>
              </w:rPr>
              <w:t xml:space="preserve">Sau </w:t>
            </w:r>
            <w:r w:rsidR="00604ED6" w:rsidRPr="00D95E51">
              <w:rPr>
                <w:b/>
                <w:bCs/>
                <w:sz w:val="22"/>
                <w:szCs w:val="22"/>
              </w:rPr>
              <w:t>CT</w:t>
            </w:r>
            <w:r w:rsidRPr="00D95E51">
              <w:rPr>
                <w:b/>
                <w:bCs/>
                <w:sz w:val="22"/>
                <w:szCs w:val="22"/>
              </w:rPr>
              <w:t xml:space="preserve"> </w:t>
            </w:r>
          </w:p>
        </w:tc>
        <w:tc>
          <w:tcPr>
            <w:tcW w:w="1383" w:type="dxa"/>
            <w:shd w:val="clear" w:color="auto" w:fill="auto"/>
          </w:tcPr>
          <w:p w14:paraId="70451898" w14:textId="77777777" w:rsidR="00AD5D3C" w:rsidRPr="00D95E51" w:rsidRDefault="00AD5D3C" w:rsidP="000606E3">
            <w:pPr>
              <w:spacing w:line="280" w:lineRule="exact"/>
              <w:ind w:right="51"/>
              <w:jc w:val="center"/>
              <w:rPr>
                <w:sz w:val="22"/>
                <w:szCs w:val="22"/>
              </w:rPr>
            </w:pPr>
            <w:r w:rsidRPr="00D95E51">
              <w:rPr>
                <w:sz w:val="22"/>
                <w:szCs w:val="22"/>
              </w:rPr>
              <w:t>9,48 ± 1,82</w:t>
            </w:r>
          </w:p>
        </w:tc>
        <w:tc>
          <w:tcPr>
            <w:tcW w:w="1424" w:type="dxa"/>
            <w:shd w:val="clear" w:color="auto" w:fill="auto"/>
          </w:tcPr>
          <w:p w14:paraId="25CD766E" w14:textId="77777777" w:rsidR="00AD5D3C" w:rsidRPr="00D95E51" w:rsidRDefault="00AD5D3C" w:rsidP="000606E3">
            <w:pPr>
              <w:spacing w:line="280" w:lineRule="exact"/>
              <w:ind w:right="51"/>
              <w:jc w:val="center"/>
              <w:rPr>
                <w:sz w:val="22"/>
                <w:szCs w:val="22"/>
              </w:rPr>
            </w:pPr>
            <w:r w:rsidRPr="00D95E51">
              <w:rPr>
                <w:sz w:val="22"/>
                <w:szCs w:val="22"/>
              </w:rPr>
              <w:t>10,54 ± 2,10</w:t>
            </w:r>
          </w:p>
        </w:tc>
        <w:tc>
          <w:tcPr>
            <w:tcW w:w="1304" w:type="dxa"/>
            <w:shd w:val="clear" w:color="auto" w:fill="auto"/>
          </w:tcPr>
          <w:p w14:paraId="56453380" w14:textId="77777777" w:rsidR="00AD5D3C" w:rsidRPr="00D95E51" w:rsidRDefault="00AD5D3C" w:rsidP="000606E3">
            <w:pPr>
              <w:spacing w:line="280" w:lineRule="exact"/>
              <w:ind w:right="51"/>
              <w:jc w:val="center"/>
              <w:rPr>
                <w:spacing w:val="-10"/>
                <w:sz w:val="22"/>
                <w:szCs w:val="22"/>
              </w:rPr>
            </w:pPr>
            <w:r w:rsidRPr="00D95E51">
              <w:rPr>
                <w:spacing w:val="-10"/>
                <w:sz w:val="22"/>
                <w:szCs w:val="22"/>
              </w:rPr>
              <w:t>10,54 ± 2,53</w:t>
            </w:r>
          </w:p>
        </w:tc>
        <w:tc>
          <w:tcPr>
            <w:tcW w:w="785" w:type="dxa"/>
            <w:shd w:val="clear" w:color="auto" w:fill="auto"/>
          </w:tcPr>
          <w:p w14:paraId="37D591AA" w14:textId="77777777" w:rsidR="00AD5D3C" w:rsidRPr="00D95E51" w:rsidRDefault="00AD5D3C" w:rsidP="000606E3">
            <w:pPr>
              <w:spacing w:line="280" w:lineRule="exact"/>
              <w:ind w:right="51"/>
              <w:jc w:val="center"/>
              <w:rPr>
                <w:b/>
                <w:bCs/>
                <w:sz w:val="22"/>
                <w:szCs w:val="22"/>
              </w:rPr>
            </w:pPr>
            <w:r w:rsidRPr="00D95E51">
              <w:rPr>
                <w:b/>
                <w:bCs/>
                <w:sz w:val="22"/>
                <w:szCs w:val="22"/>
              </w:rPr>
              <w:t>0,001</w:t>
            </w:r>
          </w:p>
        </w:tc>
      </w:tr>
      <w:tr w:rsidR="00AD5D3C" w:rsidRPr="00D95E51" w14:paraId="0716B92A" w14:textId="77777777" w:rsidTr="00AA7322">
        <w:trPr>
          <w:trHeight w:val="57"/>
        </w:trPr>
        <w:tc>
          <w:tcPr>
            <w:tcW w:w="1271" w:type="dxa"/>
            <w:shd w:val="clear" w:color="auto" w:fill="auto"/>
          </w:tcPr>
          <w:p w14:paraId="56C525CB" w14:textId="77777777" w:rsidR="00AD5D3C" w:rsidRPr="00D95E51" w:rsidRDefault="00AD5D3C" w:rsidP="000606E3">
            <w:pPr>
              <w:spacing w:line="280" w:lineRule="exact"/>
              <w:ind w:right="51"/>
              <w:jc w:val="both"/>
              <w:rPr>
                <w:b/>
                <w:bCs/>
                <w:sz w:val="22"/>
                <w:szCs w:val="22"/>
              </w:rPr>
            </w:pPr>
            <w:r w:rsidRPr="00D95E51">
              <w:rPr>
                <w:b/>
                <w:bCs/>
                <w:sz w:val="22"/>
                <w:szCs w:val="22"/>
              </w:rPr>
              <w:t xml:space="preserve">Thay đổi </w:t>
            </w:r>
          </w:p>
        </w:tc>
        <w:tc>
          <w:tcPr>
            <w:tcW w:w="1383" w:type="dxa"/>
            <w:shd w:val="clear" w:color="auto" w:fill="auto"/>
          </w:tcPr>
          <w:p w14:paraId="6447B695" w14:textId="77777777" w:rsidR="00AD5D3C" w:rsidRPr="00D95E51" w:rsidRDefault="00AD5D3C" w:rsidP="000606E3">
            <w:pPr>
              <w:spacing w:line="280" w:lineRule="exact"/>
              <w:ind w:right="51"/>
              <w:jc w:val="center"/>
              <w:rPr>
                <w:sz w:val="22"/>
                <w:szCs w:val="22"/>
              </w:rPr>
            </w:pPr>
            <w:r w:rsidRPr="00D95E51">
              <w:rPr>
                <w:sz w:val="22"/>
                <w:szCs w:val="22"/>
              </w:rPr>
              <w:t>0,32 ± 2,52</w:t>
            </w:r>
          </w:p>
        </w:tc>
        <w:tc>
          <w:tcPr>
            <w:tcW w:w="1424" w:type="dxa"/>
            <w:shd w:val="clear" w:color="auto" w:fill="auto"/>
          </w:tcPr>
          <w:p w14:paraId="2E346A2A" w14:textId="77777777" w:rsidR="00AD5D3C" w:rsidRPr="00D95E51" w:rsidRDefault="00AD5D3C" w:rsidP="000606E3">
            <w:pPr>
              <w:spacing w:line="280" w:lineRule="exact"/>
              <w:ind w:right="51"/>
              <w:jc w:val="center"/>
              <w:rPr>
                <w:sz w:val="22"/>
                <w:szCs w:val="22"/>
              </w:rPr>
            </w:pPr>
            <w:r w:rsidRPr="00D95E51">
              <w:rPr>
                <w:sz w:val="22"/>
                <w:szCs w:val="22"/>
              </w:rPr>
              <w:t>1,38 ± 2,88</w:t>
            </w:r>
          </w:p>
        </w:tc>
        <w:tc>
          <w:tcPr>
            <w:tcW w:w="1304" w:type="dxa"/>
            <w:shd w:val="clear" w:color="auto" w:fill="auto"/>
          </w:tcPr>
          <w:p w14:paraId="2BD9A6A6" w14:textId="77777777" w:rsidR="00AD5D3C" w:rsidRPr="00D95E51" w:rsidRDefault="00AD5D3C" w:rsidP="000606E3">
            <w:pPr>
              <w:spacing w:line="280" w:lineRule="exact"/>
              <w:ind w:right="51"/>
              <w:jc w:val="center"/>
              <w:rPr>
                <w:sz w:val="22"/>
                <w:szCs w:val="22"/>
              </w:rPr>
            </w:pPr>
            <w:r w:rsidRPr="00D95E51">
              <w:rPr>
                <w:sz w:val="22"/>
                <w:szCs w:val="22"/>
              </w:rPr>
              <w:t>1,31 ± 3,30</w:t>
            </w:r>
          </w:p>
        </w:tc>
        <w:tc>
          <w:tcPr>
            <w:tcW w:w="785" w:type="dxa"/>
            <w:shd w:val="clear" w:color="auto" w:fill="auto"/>
          </w:tcPr>
          <w:p w14:paraId="57DAFC87" w14:textId="77777777" w:rsidR="00AD5D3C" w:rsidRPr="00D95E51" w:rsidRDefault="00AD5D3C" w:rsidP="000606E3">
            <w:pPr>
              <w:spacing w:line="280" w:lineRule="exact"/>
              <w:ind w:right="51"/>
              <w:jc w:val="center"/>
              <w:rPr>
                <w:b/>
                <w:sz w:val="22"/>
                <w:szCs w:val="22"/>
              </w:rPr>
            </w:pPr>
          </w:p>
        </w:tc>
      </w:tr>
      <w:tr w:rsidR="00AD5D3C" w:rsidRPr="00D95E51" w14:paraId="336D905C" w14:textId="77777777" w:rsidTr="00AA7322">
        <w:trPr>
          <w:trHeight w:val="57"/>
        </w:trPr>
        <w:tc>
          <w:tcPr>
            <w:tcW w:w="1271" w:type="dxa"/>
            <w:shd w:val="clear" w:color="auto" w:fill="auto"/>
          </w:tcPr>
          <w:p w14:paraId="0DCA25E0" w14:textId="77777777" w:rsidR="00AD5D3C" w:rsidRPr="00D95E51" w:rsidRDefault="00AD5D3C" w:rsidP="000606E3">
            <w:pPr>
              <w:spacing w:line="280" w:lineRule="exact"/>
              <w:ind w:right="51"/>
              <w:jc w:val="both"/>
              <w:rPr>
                <w:b/>
                <w:bCs/>
                <w:sz w:val="22"/>
                <w:szCs w:val="22"/>
                <w:vertAlign w:val="superscript"/>
              </w:rPr>
            </w:pPr>
            <w:r w:rsidRPr="00D95E51">
              <w:rPr>
                <w:b/>
                <w:bCs/>
                <w:sz w:val="22"/>
                <w:szCs w:val="22"/>
              </w:rPr>
              <w:t>p</w:t>
            </w:r>
            <w:r w:rsidRPr="00D95E51">
              <w:rPr>
                <w:b/>
                <w:bCs/>
                <w:sz w:val="22"/>
                <w:szCs w:val="22"/>
                <w:vertAlign w:val="superscript"/>
              </w:rPr>
              <w:t>2</w:t>
            </w:r>
          </w:p>
        </w:tc>
        <w:tc>
          <w:tcPr>
            <w:tcW w:w="1383" w:type="dxa"/>
            <w:shd w:val="clear" w:color="auto" w:fill="auto"/>
          </w:tcPr>
          <w:p w14:paraId="1F1BBCE5" w14:textId="77777777" w:rsidR="00AD5D3C" w:rsidRPr="00D95E51" w:rsidRDefault="00AD5D3C" w:rsidP="000606E3">
            <w:pPr>
              <w:spacing w:line="280" w:lineRule="exact"/>
              <w:ind w:right="51"/>
              <w:jc w:val="center"/>
              <w:rPr>
                <w:sz w:val="22"/>
                <w:szCs w:val="22"/>
              </w:rPr>
            </w:pPr>
            <w:r w:rsidRPr="00D95E51">
              <w:rPr>
                <w:sz w:val="22"/>
                <w:szCs w:val="22"/>
              </w:rPr>
              <w:t>0,207</w:t>
            </w:r>
          </w:p>
        </w:tc>
        <w:tc>
          <w:tcPr>
            <w:tcW w:w="1424" w:type="dxa"/>
            <w:shd w:val="clear" w:color="auto" w:fill="auto"/>
          </w:tcPr>
          <w:p w14:paraId="062A71B7" w14:textId="77777777" w:rsidR="00AD5D3C" w:rsidRPr="00D95E51" w:rsidRDefault="00AD5D3C" w:rsidP="000606E3">
            <w:pPr>
              <w:spacing w:line="280" w:lineRule="exact"/>
              <w:ind w:right="51"/>
              <w:jc w:val="center"/>
              <w:rPr>
                <w:b/>
                <w:sz w:val="22"/>
                <w:szCs w:val="22"/>
              </w:rPr>
            </w:pPr>
            <w:r w:rsidRPr="00D95E51">
              <w:rPr>
                <w:b/>
                <w:sz w:val="22"/>
                <w:szCs w:val="22"/>
              </w:rPr>
              <w:t>0,001</w:t>
            </w:r>
          </w:p>
        </w:tc>
        <w:tc>
          <w:tcPr>
            <w:tcW w:w="1304" w:type="dxa"/>
            <w:shd w:val="clear" w:color="auto" w:fill="auto"/>
          </w:tcPr>
          <w:p w14:paraId="255928C3" w14:textId="77777777" w:rsidR="00AD5D3C" w:rsidRPr="00D95E51" w:rsidRDefault="00AD5D3C" w:rsidP="000606E3">
            <w:pPr>
              <w:spacing w:line="280" w:lineRule="exact"/>
              <w:ind w:right="51"/>
              <w:jc w:val="center"/>
              <w:rPr>
                <w:b/>
                <w:sz w:val="22"/>
                <w:szCs w:val="22"/>
              </w:rPr>
            </w:pPr>
            <w:r w:rsidRPr="00D95E51">
              <w:rPr>
                <w:b/>
                <w:sz w:val="22"/>
                <w:szCs w:val="22"/>
              </w:rPr>
              <w:t>0,001</w:t>
            </w:r>
          </w:p>
        </w:tc>
        <w:tc>
          <w:tcPr>
            <w:tcW w:w="785" w:type="dxa"/>
            <w:shd w:val="clear" w:color="auto" w:fill="auto"/>
          </w:tcPr>
          <w:p w14:paraId="687D8BEA" w14:textId="77777777" w:rsidR="00AD5D3C" w:rsidRPr="00D95E51" w:rsidRDefault="00AD5D3C" w:rsidP="000606E3">
            <w:pPr>
              <w:spacing w:line="280" w:lineRule="exact"/>
              <w:ind w:right="51"/>
              <w:jc w:val="center"/>
              <w:rPr>
                <w:b/>
                <w:sz w:val="22"/>
                <w:szCs w:val="22"/>
              </w:rPr>
            </w:pPr>
          </w:p>
        </w:tc>
      </w:tr>
    </w:tbl>
    <w:p w14:paraId="0D47F909" w14:textId="77777777" w:rsidR="00984ED1" w:rsidRPr="00D95E51" w:rsidRDefault="00984ED1" w:rsidP="00A1659D">
      <w:pPr>
        <w:spacing w:line="280" w:lineRule="exact"/>
        <w:ind w:firstLine="426"/>
        <w:jc w:val="both"/>
        <w:rPr>
          <w:i/>
          <w:sz w:val="22"/>
          <w:szCs w:val="22"/>
        </w:rPr>
      </w:pPr>
      <w:r w:rsidRPr="00D95E51">
        <w:rPr>
          <w:i/>
          <w:sz w:val="22"/>
          <w:szCs w:val="22"/>
        </w:rPr>
        <w:t>p1: so sánh 2 nhóm can thiệp và nhóm đối chứng cùng ở cùng thời điểm, sử dụng kiểm định ANOVA Test.</w:t>
      </w:r>
    </w:p>
    <w:p w14:paraId="1D29790E" w14:textId="77777777" w:rsidR="00984ED1" w:rsidRPr="00D95E51" w:rsidRDefault="00984ED1" w:rsidP="00A1659D">
      <w:pPr>
        <w:spacing w:line="280" w:lineRule="exact"/>
        <w:ind w:firstLine="426"/>
        <w:jc w:val="both"/>
        <w:rPr>
          <w:i/>
          <w:sz w:val="22"/>
          <w:szCs w:val="22"/>
        </w:rPr>
      </w:pPr>
      <w:r w:rsidRPr="00D95E51">
        <w:rPr>
          <w:i/>
          <w:sz w:val="22"/>
          <w:szCs w:val="22"/>
        </w:rPr>
        <w:t>p2: so sánh cùng nhóm ở hai thời điểm trước và sau can thiệp, sử dụng kiểm định paired t-test.</w:t>
      </w:r>
    </w:p>
    <w:p w14:paraId="5B15DD0F" w14:textId="7B0902B2" w:rsidR="00984ED1" w:rsidRPr="00820A4E" w:rsidRDefault="00984ED1" w:rsidP="00A1659D">
      <w:pPr>
        <w:spacing w:line="280" w:lineRule="exact"/>
        <w:ind w:firstLine="426"/>
        <w:jc w:val="both"/>
        <w:rPr>
          <w:sz w:val="22"/>
          <w:szCs w:val="20"/>
        </w:rPr>
      </w:pPr>
      <w:r w:rsidRPr="00D95E51">
        <w:rPr>
          <w:sz w:val="22"/>
          <w:szCs w:val="22"/>
        </w:rPr>
        <w:t>Bảng 3.</w:t>
      </w:r>
      <w:r w:rsidR="008D4648">
        <w:rPr>
          <w:sz w:val="22"/>
          <w:szCs w:val="22"/>
        </w:rPr>
        <w:t>8</w:t>
      </w:r>
      <w:r w:rsidRPr="00D95E51">
        <w:rPr>
          <w:sz w:val="22"/>
          <w:szCs w:val="22"/>
        </w:rPr>
        <w:t xml:space="preserve"> cho thấy: Ở nhóm chứng, nồng độ kẽm huyết thanh trước can thiệp là: 9,16 ± 1,96 </w:t>
      </w:r>
      <w:r w:rsidR="00B135E9" w:rsidRPr="004D0176">
        <w:rPr>
          <w:sz w:val="22"/>
          <w:szCs w:val="22"/>
        </w:rPr>
        <w:sym w:font="Symbol" w:char="F06D"/>
      </w:r>
      <w:r w:rsidR="00B135E9" w:rsidRPr="004D0176">
        <w:rPr>
          <w:sz w:val="22"/>
          <w:szCs w:val="22"/>
          <w:lang w:val="it-IT"/>
        </w:rPr>
        <w:t>mol/L</w:t>
      </w:r>
      <w:r w:rsidRPr="00D95E51">
        <w:rPr>
          <w:sz w:val="22"/>
          <w:szCs w:val="22"/>
        </w:rPr>
        <w:t xml:space="preserve">, sau can thiệp là: 9,48 ± 1,82 </w:t>
      </w:r>
      <w:r w:rsidR="004D0176" w:rsidRPr="004D0176">
        <w:rPr>
          <w:sz w:val="22"/>
          <w:szCs w:val="22"/>
        </w:rPr>
        <w:lastRenderedPageBreak/>
        <w:sym w:font="Symbol" w:char="F06D"/>
      </w:r>
      <w:r w:rsidR="004D0176" w:rsidRPr="004D0176">
        <w:rPr>
          <w:sz w:val="22"/>
          <w:szCs w:val="22"/>
          <w:lang w:val="it-IT"/>
        </w:rPr>
        <w:t>mol/L</w:t>
      </w:r>
      <w:r w:rsidRPr="00D95E51">
        <w:rPr>
          <w:sz w:val="22"/>
          <w:szCs w:val="22"/>
        </w:rPr>
        <w:t xml:space="preserve">, thay đổi so với trước can thiệp tăng 0,32 ± 2,52 </w:t>
      </w:r>
      <w:bookmarkStart w:id="36" w:name="_Hlk147991304"/>
      <w:r w:rsidR="004D0176" w:rsidRPr="004D0176">
        <w:rPr>
          <w:sz w:val="22"/>
          <w:szCs w:val="22"/>
        </w:rPr>
        <w:sym w:font="Symbol" w:char="F06D"/>
      </w:r>
      <w:r w:rsidR="004D0176" w:rsidRPr="004D0176">
        <w:rPr>
          <w:sz w:val="22"/>
          <w:szCs w:val="22"/>
          <w:lang w:val="it-IT"/>
        </w:rPr>
        <w:t>mol/L</w:t>
      </w:r>
      <w:bookmarkEnd w:id="36"/>
      <w:r w:rsidRPr="00D95E51">
        <w:rPr>
          <w:sz w:val="22"/>
          <w:szCs w:val="22"/>
        </w:rPr>
        <w:t xml:space="preserve">. Ở nhóm bổ sung kẽm nồng độ kẽm huyết thanh trước can thiệp  là: 9,16 ± 1,66 </w:t>
      </w:r>
      <w:r w:rsidR="004D0176" w:rsidRPr="004D0176">
        <w:rPr>
          <w:sz w:val="22"/>
          <w:szCs w:val="22"/>
        </w:rPr>
        <w:sym w:font="Symbol" w:char="F06D"/>
      </w:r>
      <w:r w:rsidR="004D0176" w:rsidRPr="004D0176">
        <w:rPr>
          <w:sz w:val="22"/>
          <w:szCs w:val="22"/>
          <w:lang w:val="it-IT"/>
        </w:rPr>
        <w:t>mol/L</w:t>
      </w:r>
      <w:r w:rsidRPr="00D95E51">
        <w:rPr>
          <w:sz w:val="22"/>
          <w:szCs w:val="22"/>
        </w:rPr>
        <w:t xml:space="preserve">, sau can thiệp là:  10,54 ± 2,10 </w:t>
      </w:r>
      <w:r w:rsidR="004D0176" w:rsidRPr="004D0176">
        <w:rPr>
          <w:sz w:val="22"/>
          <w:szCs w:val="22"/>
        </w:rPr>
        <w:sym w:font="Symbol" w:char="F06D"/>
      </w:r>
      <w:r w:rsidR="004D0176" w:rsidRPr="004D0176">
        <w:rPr>
          <w:sz w:val="22"/>
          <w:szCs w:val="22"/>
          <w:lang w:val="it-IT"/>
        </w:rPr>
        <w:t>mol/L</w:t>
      </w:r>
      <w:r w:rsidRPr="00D95E51">
        <w:rPr>
          <w:sz w:val="22"/>
          <w:szCs w:val="22"/>
        </w:rPr>
        <w:t xml:space="preserve">, thay đổi so với trước can thiệp tăng  1,38 ± 2,88 </w:t>
      </w:r>
      <w:r w:rsidR="004D0176" w:rsidRPr="004D0176">
        <w:rPr>
          <w:sz w:val="22"/>
          <w:szCs w:val="22"/>
        </w:rPr>
        <w:sym w:font="Symbol" w:char="F06D"/>
      </w:r>
      <w:r w:rsidR="004D0176" w:rsidRPr="004D0176">
        <w:rPr>
          <w:sz w:val="22"/>
          <w:szCs w:val="22"/>
          <w:lang w:val="it-IT"/>
        </w:rPr>
        <w:t>mol/L</w:t>
      </w:r>
      <w:r w:rsidRPr="00D95E51">
        <w:rPr>
          <w:sz w:val="22"/>
          <w:szCs w:val="22"/>
        </w:rPr>
        <w:t xml:space="preserve">. Ở nhóm bổ sung sắt - kẽm nồng độ kẽm huyết thanh trước can thiệp là: 9,22 ± 1,75 </w:t>
      </w:r>
      <w:r w:rsidR="00B135E9" w:rsidRPr="004D0176">
        <w:rPr>
          <w:sz w:val="22"/>
          <w:szCs w:val="22"/>
        </w:rPr>
        <w:sym w:font="Symbol" w:char="F06D"/>
      </w:r>
      <w:r w:rsidR="00B135E9" w:rsidRPr="004D0176">
        <w:rPr>
          <w:sz w:val="22"/>
          <w:szCs w:val="22"/>
          <w:lang w:val="it-IT"/>
        </w:rPr>
        <w:t>mol/L</w:t>
      </w:r>
      <w:r w:rsidRPr="00D95E51">
        <w:rPr>
          <w:sz w:val="22"/>
          <w:szCs w:val="22"/>
        </w:rPr>
        <w:t xml:space="preserve">, sau can thiệp là: 10,54 ± 2,53 </w:t>
      </w:r>
      <w:r w:rsidR="00317150" w:rsidRPr="004D0176">
        <w:rPr>
          <w:sz w:val="22"/>
          <w:szCs w:val="22"/>
        </w:rPr>
        <w:sym w:font="Symbol" w:char="F06D"/>
      </w:r>
      <w:r w:rsidR="00317150" w:rsidRPr="004D0176">
        <w:rPr>
          <w:sz w:val="22"/>
          <w:szCs w:val="22"/>
          <w:lang w:val="it-IT"/>
        </w:rPr>
        <w:t>mol/L</w:t>
      </w:r>
      <w:r w:rsidRPr="00820A4E">
        <w:rPr>
          <w:sz w:val="22"/>
          <w:szCs w:val="20"/>
        </w:rPr>
        <w:t xml:space="preserve"> thay đổi so với trước can thiệp tăng 1,31 ± 3,30 </w:t>
      </w:r>
      <w:r w:rsidR="004D0176" w:rsidRPr="004D0176">
        <w:rPr>
          <w:sz w:val="22"/>
          <w:szCs w:val="22"/>
        </w:rPr>
        <w:sym w:font="Symbol" w:char="F06D"/>
      </w:r>
      <w:r w:rsidR="004D0176" w:rsidRPr="004D0176">
        <w:rPr>
          <w:sz w:val="22"/>
          <w:szCs w:val="22"/>
          <w:lang w:val="it-IT"/>
        </w:rPr>
        <w:t>mol/L</w:t>
      </w:r>
      <w:r w:rsidRPr="00820A4E">
        <w:rPr>
          <w:sz w:val="22"/>
          <w:szCs w:val="20"/>
        </w:rPr>
        <w:t>. Có sự khác biệt YNTk giữa nồng độ kẽm huyết thanh trước và sau can thiệp ở nhóm bổ sung kẽm (p=0,001) và nhóm bổ sung sắt+kẽm (p=0,001).</w:t>
      </w:r>
    </w:p>
    <w:p w14:paraId="70CE7385" w14:textId="19A9700A" w:rsidR="00984ED1" w:rsidRPr="00FE11E2" w:rsidRDefault="00984ED1" w:rsidP="00A1659D">
      <w:pPr>
        <w:spacing w:before="120"/>
        <w:ind w:firstLine="426"/>
        <w:jc w:val="both"/>
        <w:rPr>
          <w:b/>
          <w:sz w:val="22"/>
          <w:szCs w:val="20"/>
        </w:rPr>
      </w:pPr>
      <w:r w:rsidRPr="00FE11E2">
        <w:rPr>
          <w:b/>
          <w:sz w:val="22"/>
          <w:szCs w:val="20"/>
        </w:rPr>
        <w:t xml:space="preserve">Bảng 3. </w:t>
      </w:r>
      <w:r w:rsidR="008D4648" w:rsidRPr="00FE11E2">
        <w:rPr>
          <w:b/>
          <w:sz w:val="22"/>
          <w:szCs w:val="20"/>
        </w:rPr>
        <w:t>9</w:t>
      </w:r>
      <w:r w:rsidRPr="00FE11E2">
        <w:rPr>
          <w:b/>
          <w:sz w:val="22"/>
          <w:szCs w:val="20"/>
        </w:rPr>
        <w:t xml:space="preserve">. Giảm tỷ lệ thiếu kẽm của đối tượng nghiên cứu </w:t>
      </w:r>
    </w:p>
    <w:tbl>
      <w:tblPr>
        <w:tblW w:w="6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1112"/>
        <w:gridCol w:w="1130"/>
        <w:gridCol w:w="1273"/>
        <w:gridCol w:w="858"/>
      </w:tblGrid>
      <w:tr w:rsidR="00526959" w:rsidRPr="00526959" w14:paraId="00C767FF" w14:textId="77777777" w:rsidTr="008D4648">
        <w:trPr>
          <w:trHeight w:val="305"/>
          <w:tblHeader/>
        </w:trPr>
        <w:tc>
          <w:tcPr>
            <w:tcW w:w="1708" w:type="dxa"/>
            <w:vMerge w:val="restart"/>
            <w:shd w:val="clear" w:color="auto" w:fill="auto"/>
          </w:tcPr>
          <w:p w14:paraId="3B32A4CF" w14:textId="77777777" w:rsidR="00526959" w:rsidRPr="00526959" w:rsidRDefault="00526959" w:rsidP="002F1274">
            <w:pPr>
              <w:ind w:right="49" w:firstLine="26"/>
              <w:jc w:val="both"/>
              <w:rPr>
                <w:b/>
                <w:bCs/>
                <w:sz w:val="22"/>
                <w:szCs w:val="26"/>
              </w:rPr>
            </w:pPr>
            <w:r w:rsidRPr="00526959">
              <w:rPr>
                <w:b/>
                <w:bCs/>
                <w:sz w:val="22"/>
                <w:szCs w:val="26"/>
              </w:rPr>
              <w:t>Tỷ lệ thiếu kẽm</w:t>
            </w:r>
          </w:p>
          <w:p w14:paraId="20E97DD5" w14:textId="77777777" w:rsidR="00526959" w:rsidRPr="00526959" w:rsidRDefault="00526959" w:rsidP="002F1274">
            <w:pPr>
              <w:ind w:right="49" w:firstLine="26"/>
              <w:jc w:val="both"/>
              <w:rPr>
                <w:b/>
                <w:bCs/>
                <w:sz w:val="22"/>
                <w:szCs w:val="26"/>
                <w:lang w:val="it-IT"/>
              </w:rPr>
            </w:pPr>
            <w:r w:rsidRPr="00526959">
              <w:rPr>
                <w:b/>
                <w:bCs/>
                <w:sz w:val="22"/>
                <w:szCs w:val="26"/>
              </w:rPr>
              <w:t>(%)</w:t>
            </w:r>
          </w:p>
        </w:tc>
        <w:tc>
          <w:tcPr>
            <w:tcW w:w="3515" w:type="dxa"/>
            <w:gridSpan w:val="3"/>
            <w:shd w:val="clear" w:color="auto" w:fill="auto"/>
          </w:tcPr>
          <w:p w14:paraId="388D05AF" w14:textId="77777777" w:rsidR="00526959" w:rsidRPr="00526959" w:rsidRDefault="00526959" w:rsidP="002F1274">
            <w:pPr>
              <w:ind w:right="49" w:firstLine="26"/>
              <w:jc w:val="center"/>
              <w:rPr>
                <w:b/>
                <w:bCs/>
                <w:sz w:val="22"/>
                <w:szCs w:val="26"/>
              </w:rPr>
            </w:pPr>
            <w:r w:rsidRPr="00526959">
              <w:rPr>
                <w:b/>
                <w:bCs/>
                <w:sz w:val="22"/>
                <w:szCs w:val="26"/>
              </w:rPr>
              <w:t>Nhóm nghiên cứu</w:t>
            </w:r>
          </w:p>
        </w:tc>
        <w:tc>
          <w:tcPr>
            <w:tcW w:w="858" w:type="dxa"/>
            <w:vMerge w:val="restart"/>
            <w:shd w:val="clear" w:color="auto" w:fill="auto"/>
            <w:vAlign w:val="center"/>
          </w:tcPr>
          <w:p w14:paraId="151FD1FC" w14:textId="77777777" w:rsidR="00526959" w:rsidRPr="00526959" w:rsidRDefault="00526959" w:rsidP="002F1274">
            <w:pPr>
              <w:ind w:right="49" w:firstLine="26"/>
              <w:jc w:val="center"/>
              <w:rPr>
                <w:b/>
                <w:bCs/>
                <w:sz w:val="22"/>
                <w:szCs w:val="26"/>
              </w:rPr>
            </w:pPr>
            <w:r w:rsidRPr="00526959">
              <w:rPr>
                <w:b/>
                <w:bCs/>
                <w:sz w:val="22"/>
                <w:szCs w:val="26"/>
              </w:rPr>
              <w:t>p</w:t>
            </w:r>
            <w:r w:rsidRPr="00526959">
              <w:rPr>
                <w:b/>
                <w:bCs/>
                <w:sz w:val="22"/>
                <w:szCs w:val="26"/>
                <w:vertAlign w:val="superscript"/>
              </w:rPr>
              <w:t>1</w:t>
            </w:r>
          </w:p>
        </w:tc>
      </w:tr>
      <w:tr w:rsidR="00526959" w:rsidRPr="00526959" w14:paraId="76E2B451" w14:textId="77777777" w:rsidTr="008D4648">
        <w:trPr>
          <w:trHeight w:val="640"/>
          <w:tblHeader/>
        </w:trPr>
        <w:tc>
          <w:tcPr>
            <w:tcW w:w="1708" w:type="dxa"/>
            <w:vMerge/>
            <w:shd w:val="clear" w:color="auto" w:fill="auto"/>
          </w:tcPr>
          <w:p w14:paraId="7CED64FE" w14:textId="77777777" w:rsidR="00526959" w:rsidRPr="00526959" w:rsidRDefault="00526959" w:rsidP="002F1274">
            <w:pPr>
              <w:ind w:right="49" w:firstLine="26"/>
              <w:jc w:val="both"/>
              <w:rPr>
                <w:b/>
                <w:bCs/>
                <w:sz w:val="22"/>
                <w:szCs w:val="26"/>
              </w:rPr>
            </w:pPr>
          </w:p>
        </w:tc>
        <w:tc>
          <w:tcPr>
            <w:tcW w:w="1112" w:type="dxa"/>
            <w:shd w:val="clear" w:color="auto" w:fill="auto"/>
          </w:tcPr>
          <w:p w14:paraId="3A486FCB" w14:textId="77777777" w:rsidR="00526959" w:rsidRPr="00526959" w:rsidRDefault="00526959" w:rsidP="002F1274">
            <w:pPr>
              <w:ind w:right="49" w:firstLine="26"/>
              <w:jc w:val="center"/>
              <w:rPr>
                <w:b/>
                <w:bCs/>
                <w:sz w:val="22"/>
                <w:szCs w:val="26"/>
              </w:rPr>
            </w:pPr>
            <w:r w:rsidRPr="00526959">
              <w:rPr>
                <w:b/>
                <w:bCs/>
                <w:sz w:val="22"/>
                <w:szCs w:val="26"/>
              </w:rPr>
              <w:t>Nhóm chứng (n=99)</w:t>
            </w:r>
          </w:p>
        </w:tc>
        <w:tc>
          <w:tcPr>
            <w:tcW w:w="1130" w:type="dxa"/>
            <w:shd w:val="clear" w:color="auto" w:fill="auto"/>
          </w:tcPr>
          <w:p w14:paraId="07F58602" w14:textId="77777777" w:rsidR="00526959" w:rsidRPr="00526959" w:rsidRDefault="00526959" w:rsidP="002F1274">
            <w:pPr>
              <w:ind w:firstLine="26"/>
              <w:jc w:val="center"/>
              <w:rPr>
                <w:b/>
                <w:bCs/>
                <w:sz w:val="22"/>
                <w:szCs w:val="26"/>
              </w:rPr>
            </w:pPr>
            <w:r w:rsidRPr="00526959">
              <w:rPr>
                <w:b/>
                <w:bCs/>
                <w:sz w:val="22"/>
                <w:szCs w:val="26"/>
              </w:rPr>
              <w:t xml:space="preserve">Nhóm </w:t>
            </w:r>
            <w:r>
              <w:rPr>
                <w:b/>
                <w:bCs/>
                <w:sz w:val="22"/>
                <w:szCs w:val="26"/>
              </w:rPr>
              <w:t>BS</w:t>
            </w:r>
            <w:r w:rsidRPr="00526959">
              <w:rPr>
                <w:b/>
                <w:bCs/>
                <w:sz w:val="22"/>
                <w:szCs w:val="26"/>
              </w:rPr>
              <w:t xml:space="preserve"> kẽm (n=93)</w:t>
            </w:r>
          </w:p>
        </w:tc>
        <w:tc>
          <w:tcPr>
            <w:tcW w:w="1272" w:type="dxa"/>
            <w:shd w:val="clear" w:color="auto" w:fill="auto"/>
          </w:tcPr>
          <w:p w14:paraId="7122A43C" w14:textId="77777777" w:rsidR="00526959" w:rsidRPr="00526959" w:rsidRDefault="00526959" w:rsidP="002F1274">
            <w:pPr>
              <w:ind w:firstLine="26"/>
              <w:jc w:val="center"/>
              <w:rPr>
                <w:b/>
                <w:bCs/>
                <w:sz w:val="22"/>
                <w:szCs w:val="26"/>
              </w:rPr>
            </w:pPr>
            <w:r w:rsidRPr="00526959">
              <w:rPr>
                <w:b/>
                <w:bCs/>
                <w:sz w:val="22"/>
                <w:szCs w:val="26"/>
              </w:rPr>
              <w:t xml:space="preserve">Nhóm </w:t>
            </w:r>
            <w:r>
              <w:rPr>
                <w:b/>
                <w:bCs/>
                <w:sz w:val="22"/>
                <w:szCs w:val="26"/>
              </w:rPr>
              <w:t>BS</w:t>
            </w:r>
            <w:r w:rsidRPr="00526959">
              <w:rPr>
                <w:b/>
                <w:bCs/>
                <w:sz w:val="22"/>
                <w:szCs w:val="26"/>
              </w:rPr>
              <w:t xml:space="preserve"> sắt-kẽm n=97)</w:t>
            </w:r>
          </w:p>
        </w:tc>
        <w:tc>
          <w:tcPr>
            <w:tcW w:w="858" w:type="dxa"/>
            <w:vMerge/>
            <w:shd w:val="clear" w:color="auto" w:fill="auto"/>
          </w:tcPr>
          <w:p w14:paraId="590383C3" w14:textId="77777777" w:rsidR="00526959" w:rsidRPr="00526959" w:rsidRDefault="00526959" w:rsidP="002F1274">
            <w:pPr>
              <w:ind w:right="49" w:firstLine="26"/>
              <w:jc w:val="center"/>
              <w:rPr>
                <w:b/>
                <w:bCs/>
                <w:sz w:val="22"/>
                <w:szCs w:val="26"/>
              </w:rPr>
            </w:pPr>
          </w:p>
        </w:tc>
      </w:tr>
      <w:tr w:rsidR="00526959" w:rsidRPr="00526959" w14:paraId="0A07E074" w14:textId="77777777" w:rsidTr="008D4648">
        <w:trPr>
          <w:trHeight w:val="320"/>
        </w:trPr>
        <w:tc>
          <w:tcPr>
            <w:tcW w:w="1708" w:type="dxa"/>
            <w:shd w:val="clear" w:color="auto" w:fill="auto"/>
          </w:tcPr>
          <w:p w14:paraId="722C7784" w14:textId="77777777" w:rsidR="00526959" w:rsidRPr="00526959" w:rsidRDefault="00526959" w:rsidP="002F1274">
            <w:pPr>
              <w:ind w:right="49" w:firstLine="26"/>
              <w:jc w:val="both"/>
              <w:rPr>
                <w:b/>
                <w:bCs/>
                <w:sz w:val="22"/>
                <w:szCs w:val="26"/>
              </w:rPr>
            </w:pPr>
            <w:r w:rsidRPr="00526959">
              <w:rPr>
                <w:b/>
                <w:bCs/>
                <w:sz w:val="22"/>
                <w:szCs w:val="26"/>
              </w:rPr>
              <w:t xml:space="preserve">Trước </w:t>
            </w:r>
            <w:r>
              <w:rPr>
                <w:b/>
                <w:bCs/>
                <w:sz w:val="22"/>
                <w:szCs w:val="26"/>
              </w:rPr>
              <w:t>CT</w:t>
            </w:r>
            <w:r w:rsidRPr="00526959">
              <w:rPr>
                <w:b/>
                <w:bCs/>
                <w:sz w:val="22"/>
                <w:szCs w:val="26"/>
              </w:rPr>
              <w:t xml:space="preserve"> </w:t>
            </w:r>
          </w:p>
        </w:tc>
        <w:tc>
          <w:tcPr>
            <w:tcW w:w="1112" w:type="dxa"/>
            <w:shd w:val="clear" w:color="auto" w:fill="auto"/>
            <w:vAlign w:val="center"/>
          </w:tcPr>
          <w:p w14:paraId="2EF1F8F7" w14:textId="77777777" w:rsidR="00526959" w:rsidRPr="00526959" w:rsidRDefault="00526959" w:rsidP="002F1274">
            <w:pPr>
              <w:ind w:right="49" w:firstLine="26"/>
              <w:jc w:val="center"/>
              <w:rPr>
                <w:sz w:val="22"/>
                <w:szCs w:val="26"/>
              </w:rPr>
            </w:pPr>
            <w:r w:rsidRPr="00526959">
              <w:rPr>
                <w:sz w:val="22"/>
                <w:szCs w:val="26"/>
              </w:rPr>
              <w:t>66,7</w:t>
            </w:r>
          </w:p>
        </w:tc>
        <w:tc>
          <w:tcPr>
            <w:tcW w:w="1130" w:type="dxa"/>
            <w:shd w:val="clear" w:color="auto" w:fill="auto"/>
            <w:vAlign w:val="center"/>
          </w:tcPr>
          <w:p w14:paraId="13E8F8DF" w14:textId="77777777" w:rsidR="00526959" w:rsidRPr="00526959" w:rsidRDefault="00526959" w:rsidP="002F1274">
            <w:pPr>
              <w:ind w:right="49" w:firstLine="26"/>
              <w:jc w:val="center"/>
              <w:rPr>
                <w:sz w:val="22"/>
                <w:szCs w:val="26"/>
              </w:rPr>
            </w:pPr>
            <w:r w:rsidRPr="00526959">
              <w:rPr>
                <w:sz w:val="22"/>
                <w:szCs w:val="26"/>
              </w:rPr>
              <w:t>61,3</w:t>
            </w:r>
          </w:p>
        </w:tc>
        <w:tc>
          <w:tcPr>
            <w:tcW w:w="1272" w:type="dxa"/>
            <w:shd w:val="clear" w:color="auto" w:fill="auto"/>
            <w:vAlign w:val="center"/>
          </w:tcPr>
          <w:p w14:paraId="6BA02E05" w14:textId="77777777" w:rsidR="00526959" w:rsidRPr="00526959" w:rsidRDefault="00526959" w:rsidP="002F1274">
            <w:pPr>
              <w:ind w:right="49" w:firstLine="26"/>
              <w:jc w:val="center"/>
              <w:rPr>
                <w:sz w:val="22"/>
                <w:szCs w:val="26"/>
              </w:rPr>
            </w:pPr>
            <w:r w:rsidRPr="00526959">
              <w:rPr>
                <w:sz w:val="22"/>
                <w:szCs w:val="26"/>
              </w:rPr>
              <w:t>69,1</w:t>
            </w:r>
          </w:p>
        </w:tc>
        <w:tc>
          <w:tcPr>
            <w:tcW w:w="858" w:type="dxa"/>
            <w:shd w:val="clear" w:color="auto" w:fill="auto"/>
            <w:vAlign w:val="center"/>
          </w:tcPr>
          <w:p w14:paraId="7B1259B1" w14:textId="77777777" w:rsidR="00526959" w:rsidRPr="00526959" w:rsidRDefault="00526959" w:rsidP="002F1274">
            <w:pPr>
              <w:ind w:right="49" w:firstLine="26"/>
              <w:jc w:val="center"/>
              <w:rPr>
                <w:sz w:val="22"/>
                <w:szCs w:val="26"/>
              </w:rPr>
            </w:pPr>
            <w:r w:rsidRPr="00526959">
              <w:rPr>
                <w:sz w:val="22"/>
                <w:szCs w:val="26"/>
              </w:rPr>
              <w:t>0,513</w:t>
            </w:r>
          </w:p>
        </w:tc>
      </w:tr>
      <w:tr w:rsidR="00526959" w:rsidRPr="00526959" w14:paraId="62BAD4C2" w14:textId="77777777" w:rsidTr="008D4648">
        <w:trPr>
          <w:trHeight w:val="305"/>
        </w:trPr>
        <w:tc>
          <w:tcPr>
            <w:tcW w:w="1708" w:type="dxa"/>
            <w:shd w:val="clear" w:color="auto" w:fill="auto"/>
          </w:tcPr>
          <w:p w14:paraId="6B3A6D12" w14:textId="77777777" w:rsidR="00526959" w:rsidRPr="00526959" w:rsidRDefault="00526959" w:rsidP="000606E3">
            <w:pPr>
              <w:ind w:right="49" w:firstLine="26"/>
              <w:jc w:val="both"/>
              <w:rPr>
                <w:b/>
                <w:bCs/>
                <w:sz w:val="22"/>
                <w:szCs w:val="26"/>
              </w:rPr>
            </w:pPr>
            <w:r w:rsidRPr="00526959">
              <w:rPr>
                <w:b/>
                <w:bCs/>
                <w:sz w:val="22"/>
                <w:szCs w:val="26"/>
              </w:rPr>
              <w:t xml:space="preserve">Sau </w:t>
            </w:r>
            <w:r>
              <w:rPr>
                <w:b/>
                <w:bCs/>
                <w:sz w:val="22"/>
                <w:szCs w:val="26"/>
              </w:rPr>
              <w:t>CT</w:t>
            </w:r>
            <w:r w:rsidRPr="00526959">
              <w:rPr>
                <w:b/>
                <w:bCs/>
                <w:sz w:val="22"/>
                <w:szCs w:val="26"/>
              </w:rPr>
              <w:t xml:space="preserve"> </w:t>
            </w:r>
          </w:p>
        </w:tc>
        <w:tc>
          <w:tcPr>
            <w:tcW w:w="1112" w:type="dxa"/>
            <w:shd w:val="clear" w:color="auto" w:fill="auto"/>
            <w:vAlign w:val="center"/>
          </w:tcPr>
          <w:p w14:paraId="3B774ED0" w14:textId="77777777" w:rsidR="00526959" w:rsidRPr="00526959" w:rsidRDefault="00526959" w:rsidP="000606E3">
            <w:pPr>
              <w:ind w:right="49" w:firstLine="26"/>
              <w:jc w:val="center"/>
              <w:rPr>
                <w:sz w:val="22"/>
                <w:szCs w:val="26"/>
              </w:rPr>
            </w:pPr>
            <w:r w:rsidRPr="00526959">
              <w:rPr>
                <w:sz w:val="22"/>
                <w:szCs w:val="26"/>
              </w:rPr>
              <w:t>65,7</w:t>
            </w:r>
          </w:p>
        </w:tc>
        <w:tc>
          <w:tcPr>
            <w:tcW w:w="1130" w:type="dxa"/>
            <w:shd w:val="clear" w:color="auto" w:fill="auto"/>
            <w:vAlign w:val="center"/>
          </w:tcPr>
          <w:p w14:paraId="6B176464" w14:textId="77777777" w:rsidR="00526959" w:rsidRPr="00526959" w:rsidRDefault="00526959" w:rsidP="000606E3">
            <w:pPr>
              <w:ind w:right="49" w:firstLine="26"/>
              <w:jc w:val="center"/>
              <w:rPr>
                <w:sz w:val="22"/>
                <w:szCs w:val="26"/>
              </w:rPr>
            </w:pPr>
            <w:r w:rsidRPr="00526959">
              <w:rPr>
                <w:sz w:val="22"/>
                <w:szCs w:val="26"/>
              </w:rPr>
              <w:t>40,9</w:t>
            </w:r>
          </w:p>
        </w:tc>
        <w:tc>
          <w:tcPr>
            <w:tcW w:w="1272" w:type="dxa"/>
            <w:shd w:val="clear" w:color="auto" w:fill="auto"/>
            <w:vAlign w:val="center"/>
          </w:tcPr>
          <w:p w14:paraId="7B734091" w14:textId="77777777" w:rsidR="00526959" w:rsidRPr="00526959" w:rsidRDefault="00526959" w:rsidP="000606E3">
            <w:pPr>
              <w:ind w:right="49" w:firstLine="26"/>
              <w:jc w:val="center"/>
              <w:rPr>
                <w:sz w:val="22"/>
                <w:szCs w:val="26"/>
              </w:rPr>
            </w:pPr>
            <w:r w:rsidRPr="00526959">
              <w:rPr>
                <w:sz w:val="22"/>
                <w:szCs w:val="26"/>
              </w:rPr>
              <w:t>47,4</w:t>
            </w:r>
          </w:p>
        </w:tc>
        <w:tc>
          <w:tcPr>
            <w:tcW w:w="858" w:type="dxa"/>
            <w:shd w:val="clear" w:color="auto" w:fill="auto"/>
            <w:vAlign w:val="center"/>
          </w:tcPr>
          <w:p w14:paraId="0F80FEC7" w14:textId="77777777" w:rsidR="00526959" w:rsidRPr="00526959" w:rsidRDefault="00526959" w:rsidP="002F1274">
            <w:pPr>
              <w:ind w:right="49" w:firstLine="26"/>
              <w:jc w:val="center"/>
              <w:rPr>
                <w:b/>
                <w:sz w:val="22"/>
                <w:szCs w:val="26"/>
              </w:rPr>
            </w:pPr>
            <w:r w:rsidRPr="00526959">
              <w:rPr>
                <w:b/>
                <w:sz w:val="22"/>
                <w:szCs w:val="26"/>
              </w:rPr>
              <w:t>0,002</w:t>
            </w:r>
          </w:p>
        </w:tc>
      </w:tr>
      <w:tr w:rsidR="00526959" w:rsidRPr="00526959" w14:paraId="20B6F0E4" w14:textId="77777777" w:rsidTr="008D4648">
        <w:trPr>
          <w:trHeight w:val="320"/>
        </w:trPr>
        <w:tc>
          <w:tcPr>
            <w:tcW w:w="1708" w:type="dxa"/>
            <w:shd w:val="clear" w:color="auto" w:fill="auto"/>
          </w:tcPr>
          <w:p w14:paraId="348106B8" w14:textId="6E7FEE6A" w:rsidR="00526959" w:rsidRPr="00526959" w:rsidRDefault="00526959" w:rsidP="000606E3">
            <w:pPr>
              <w:ind w:firstLine="26"/>
              <w:jc w:val="both"/>
              <w:rPr>
                <w:b/>
                <w:bCs/>
                <w:sz w:val="22"/>
                <w:szCs w:val="26"/>
              </w:rPr>
            </w:pPr>
            <w:bookmarkStart w:id="37" w:name="_Toc107765673"/>
            <w:bookmarkStart w:id="38" w:name="_Toc118577320"/>
            <w:bookmarkStart w:id="39" w:name="_Toc118656372"/>
            <w:bookmarkStart w:id="40" w:name="_Toc132883776"/>
            <w:bookmarkStart w:id="41" w:name="_Toc132883942"/>
            <w:bookmarkStart w:id="42" w:name="_Toc132884316"/>
            <w:bookmarkStart w:id="43" w:name="_Toc132884398"/>
            <w:bookmarkStart w:id="44" w:name="_Toc132884562"/>
            <w:r w:rsidRPr="00526959">
              <w:rPr>
                <w:b/>
                <w:bCs/>
                <w:sz w:val="22"/>
                <w:szCs w:val="26"/>
              </w:rPr>
              <w:t>Mức thay đổi</w:t>
            </w:r>
            <w:bookmarkEnd w:id="37"/>
            <w:bookmarkEnd w:id="38"/>
            <w:bookmarkEnd w:id="39"/>
            <w:bookmarkEnd w:id="40"/>
            <w:bookmarkEnd w:id="41"/>
            <w:bookmarkEnd w:id="42"/>
            <w:bookmarkEnd w:id="43"/>
            <w:bookmarkEnd w:id="44"/>
            <w:r w:rsidRPr="00526959">
              <w:rPr>
                <w:b/>
                <w:bCs/>
                <w:sz w:val="22"/>
                <w:szCs w:val="26"/>
              </w:rPr>
              <w:t xml:space="preserve"> </w:t>
            </w:r>
          </w:p>
        </w:tc>
        <w:tc>
          <w:tcPr>
            <w:tcW w:w="1112" w:type="dxa"/>
            <w:shd w:val="clear" w:color="auto" w:fill="auto"/>
            <w:vAlign w:val="center"/>
          </w:tcPr>
          <w:p w14:paraId="54EB9E6E" w14:textId="77777777" w:rsidR="00526959" w:rsidRPr="00526959" w:rsidRDefault="00526959" w:rsidP="000606E3">
            <w:pPr>
              <w:ind w:firstLine="26"/>
              <w:jc w:val="center"/>
              <w:rPr>
                <w:sz w:val="22"/>
                <w:szCs w:val="26"/>
              </w:rPr>
            </w:pPr>
            <w:r w:rsidRPr="00526959">
              <w:rPr>
                <w:sz w:val="22"/>
                <w:szCs w:val="26"/>
              </w:rPr>
              <w:t>1,0</w:t>
            </w:r>
          </w:p>
        </w:tc>
        <w:tc>
          <w:tcPr>
            <w:tcW w:w="1130" w:type="dxa"/>
            <w:shd w:val="clear" w:color="auto" w:fill="auto"/>
            <w:vAlign w:val="center"/>
          </w:tcPr>
          <w:p w14:paraId="6E29B6C7" w14:textId="77777777" w:rsidR="00526959" w:rsidRPr="00526959" w:rsidRDefault="00526959" w:rsidP="000606E3">
            <w:pPr>
              <w:ind w:firstLine="26"/>
              <w:jc w:val="center"/>
              <w:rPr>
                <w:sz w:val="22"/>
                <w:szCs w:val="26"/>
              </w:rPr>
            </w:pPr>
            <w:r w:rsidRPr="00526959">
              <w:rPr>
                <w:sz w:val="22"/>
                <w:szCs w:val="26"/>
              </w:rPr>
              <w:t>20,4</w:t>
            </w:r>
          </w:p>
        </w:tc>
        <w:tc>
          <w:tcPr>
            <w:tcW w:w="1272" w:type="dxa"/>
            <w:shd w:val="clear" w:color="auto" w:fill="auto"/>
            <w:vAlign w:val="center"/>
          </w:tcPr>
          <w:p w14:paraId="5155E1CF" w14:textId="77777777" w:rsidR="00526959" w:rsidRPr="00526959" w:rsidRDefault="00526959" w:rsidP="000606E3">
            <w:pPr>
              <w:ind w:firstLine="26"/>
              <w:jc w:val="center"/>
              <w:rPr>
                <w:sz w:val="22"/>
                <w:szCs w:val="26"/>
              </w:rPr>
            </w:pPr>
            <w:r w:rsidRPr="00526959">
              <w:rPr>
                <w:sz w:val="22"/>
                <w:szCs w:val="26"/>
              </w:rPr>
              <w:t>21,7</w:t>
            </w:r>
          </w:p>
        </w:tc>
        <w:tc>
          <w:tcPr>
            <w:tcW w:w="858" w:type="dxa"/>
            <w:shd w:val="clear" w:color="auto" w:fill="auto"/>
            <w:vAlign w:val="center"/>
          </w:tcPr>
          <w:p w14:paraId="66C4A33B" w14:textId="77777777" w:rsidR="00526959" w:rsidRPr="00526959" w:rsidRDefault="00526959" w:rsidP="000606E3">
            <w:pPr>
              <w:ind w:firstLine="26"/>
              <w:jc w:val="center"/>
              <w:rPr>
                <w:b/>
                <w:sz w:val="22"/>
                <w:szCs w:val="26"/>
              </w:rPr>
            </w:pPr>
          </w:p>
        </w:tc>
      </w:tr>
      <w:tr w:rsidR="00526959" w:rsidRPr="00526959" w14:paraId="3918E8D8" w14:textId="77777777" w:rsidTr="008D4648">
        <w:trPr>
          <w:trHeight w:val="305"/>
        </w:trPr>
        <w:tc>
          <w:tcPr>
            <w:tcW w:w="1708" w:type="dxa"/>
            <w:shd w:val="clear" w:color="auto" w:fill="auto"/>
          </w:tcPr>
          <w:p w14:paraId="2544283B" w14:textId="77777777" w:rsidR="00526959" w:rsidRPr="00526959" w:rsidRDefault="00526959" w:rsidP="000606E3">
            <w:pPr>
              <w:ind w:right="49" w:firstLine="26"/>
              <w:jc w:val="both"/>
              <w:rPr>
                <w:b/>
                <w:bCs/>
                <w:sz w:val="22"/>
                <w:szCs w:val="26"/>
              </w:rPr>
            </w:pPr>
            <w:r w:rsidRPr="00526959">
              <w:rPr>
                <w:b/>
                <w:bCs/>
                <w:sz w:val="22"/>
                <w:szCs w:val="26"/>
              </w:rPr>
              <w:t>p</w:t>
            </w:r>
            <w:r w:rsidRPr="00526959">
              <w:rPr>
                <w:b/>
                <w:bCs/>
                <w:sz w:val="22"/>
                <w:szCs w:val="26"/>
                <w:vertAlign w:val="superscript"/>
              </w:rPr>
              <w:t>2</w:t>
            </w:r>
          </w:p>
        </w:tc>
        <w:tc>
          <w:tcPr>
            <w:tcW w:w="1112" w:type="dxa"/>
            <w:shd w:val="clear" w:color="auto" w:fill="auto"/>
          </w:tcPr>
          <w:p w14:paraId="42C82B43" w14:textId="77777777" w:rsidR="00526959" w:rsidRPr="00526959" w:rsidRDefault="00526959" w:rsidP="000606E3">
            <w:pPr>
              <w:ind w:right="49" w:firstLine="26"/>
              <w:jc w:val="center"/>
              <w:rPr>
                <w:sz w:val="22"/>
                <w:szCs w:val="26"/>
              </w:rPr>
            </w:pPr>
            <w:r w:rsidRPr="00526959">
              <w:rPr>
                <w:sz w:val="22"/>
                <w:szCs w:val="26"/>
              </w:rPr>
              <w:t>1,000</w:t>
            </w:r>
          </w:p>
        </w:tc>
        <w:tc>
          <w:tcPr>
            <w:tcW w:w="1130" w:type="dxa"/>
            <w:shd w:val="clear" w:color="auto" w:fill="auto"/>
          </w:tcPr>
          <w:p w14:paraId="14307C4A" w14:textId="77777777" w:rsidR="00526959" w:rsidRPr="00526959" w:rsidRDefault="00526959" w:rsidP="000606E3">
            <w:pPr>
              <w:ind w:right="49" w:firstLine="26"/>
              <w:jc w:val="center"/>
              <w:rPr>
                <w:b/>
                <w:sz w:val="22"/>
                <w:szCs w:val="26"/>
              </w:rPr>
            </w:pPr>
            <w:r w:rsidRPr="00526959">
              <w:rPr>
                <w:b/>
                <w:sz w:val="22"/>
                <w:szCs w:val="26"/>
              </w:rPr>
              <w:t>0,011</w:t>
            </w:r>
          </w:p>
        </w:tc>
        <w:tc>
          <w:tcPr>
            <w:tcW w:w="1272" w:type="dxa"/>
            <w:shd w:val="clear" w:color="auto" w:fill="auto"/>
          </w:tcPr>
          <w:p w14:paraId="231CD948" w14:textId="77777777" w:rsidR="00526959" w:rsidRPr="00526959" w:rsidRDefault="00526959" w:rsidP="000606E3">
            <w:pPr>
              <w:ind w:right="49" w:firstLine="26"/>
              <w:jc w:val="center"/>
              <w:rPr>
                <w:b/>
                <w:sz w:val="22"/>
                <w:szCs w:val="26"/>
              </w:rPr>
            </w:pPr>
            <w:r w:rsidRPr="00526959">
              <w:rPr>
                <w:b/>
                <w:sz w:val="22"/>
                <w:szCs w:val="26"/>
              </w:rPr>
              <w:t>0,009</w:t>
            </w:r>
          </w:p>
        </w:tc>
        <w:tc>
          <w:tcPr>
            <w:tcW w:w="858" w:type="dxa"/>
            <w:shd w:val="clear" w:color="auto" w:fill="auto"/>
          </w:tcPr>
          <w:p w14:paraId="24C8740D" w14:textId="77777777" w:rsidR="00526959" w:rsidRPr="00526959" w:rsidRDefault="00526959" w:rsidP="000606E3">
            <w:pPr>
              <w:ind w:right="49" w:firstLine="26"/>
              <w:jc w:val="center"/>
              <w:rPr>
                <w:b/>
                <w:sz w:val="22"/>
                <w:szCs w:val="26"/>
              </w:rPr>
            </w:pPr>
          </w:p>
        </w:tc>
      </w:tr>
    </w:tbl>
    <w:p w14:paraId="0BA9834F" w14:textId="77777777" w:rsidR="00984ED1" w:rsidRPr="00526959" w:rsidRDefault="00984ED1" w:rsidP="00A1659D">
      <w:pPr>
        <w:spacing w:line="280" w:lineRule="exact"/>
        <w:ind w:firstLine="426"/>
        <w:jc w:val="both"/>
        <w:rPr>
          <w:i/>
          <w:sz w:val="22"/>
          <w:szCs w:val="22"/>
        </w:rPr>
      </w:pPr>
      <w:r w:rsidRPr="00526959">
        <w:rPr>
          <w:i/>
          <w:sz w:val="22"/>
          <w:szCs w:val="22"/>
        </w:rPr>
        <w:t>p1: so sánh nhóm can thiệp và đối chứng cùng ở cùng thời điểm, sử dụng kiểm định Chi-Square test.</w:t>
      </w:r>
    </w:p>
    <w:p w14:paraId="011F2334" w14:textId="77777777" w:rsidR="00984ED1" w:rsidRPr="00526959" w:rsidRDefault="00984ED1" w:rsidP="00A1659D">
      <w:pPr>
        <w:spacing w:line="280" w:lineRule="exact"/>
        <w:ind w:firstLine="426"/>
        <w:jc w:val="both"/>
        <w:rPr>
          <w:i/>
          <w:sz w:val="22"/>
          <w:szCs w:val="22"/>
        </w:rPr>
      </w:pPr>
      <w:r w:rsidRPr="00526959">
        <w:rPr>
          <w:i/>
          <w:sz w:val="22"/>
          <w:szCs w:val="22"/>
        </w:rPr>
        <w:t>p2: so sánh cùng nhóm ở hai thời điểm trước và sau can thiệp, sử dụng kiểm định McNemar test.</w:t>
      </w:r>
    </w:p>
    <w:p w14:paraId="22962988" w14:textId="77777777" w:rsidR="00984ED1" w:rsidRPr="00C802F7" w:rsidRDefault="00984ED1" w:rsidP="00A1659D">
      <w:pPr>
        <w:spacing w:line="280" w:lineRule="exact"/>
        <w:ind w:firstLine="426"/>
        <w:jc w:val="both"/>
        <w:rPr>
          <w:sz w:val="22"/>
          <w:szCs w:val="22"/>
        </w:rPr>
      </w:pPr>
      <w:r w:rsidRPr="00C802F7">
        <w:rPr>
          <w:sz w:val="22"/>
          <w:szCs w:val="22"/>
        </w:rPr>
        <w:t>So sánh tỷ lệ thiếu kẽm giữa trước can thiệp và sau can thiệp được trình bày trong Bảng 3.28. Trước can thiệp tỷ lệ thiếu kẽm như sau: nhóm chứng 66</w:t>
      </w:r>
      <w:proofErr w:type="gramStart"/>
      <w:r w:rsidRPr="00C802F7">
        <w:rPr>
          <w:sz w:val="22"/>
          <w:szCs w:val="22"/>
        </w:rPr>
        <w:t>,7</w:t>
      </w:r>
      <w:proofErr w:type="gramEnd"/>
      <w:r w:rsidRPr="00C802F7">
        <w:rPr>
          <w:sz w:val="22"/>
          <w:szCs w:val="22"/>
        </w:rPr>
        <w:t xml:space="preserve">%, nhóm bổ sung kẽm là 61,3%, nhóm bổ sung sắt-kẽm là 69,1%. </w:t>
      </w:r>
      <w:proofErr w:type="gramStart"/>
      <w:r w:rsidRPr="00C802F7">
        <w:rPr>
          <w:sz w:val="22"/>
          <w:szCs w:val="22"/>
        </w:rPr>
        <w:t>sau</w:t>
      </w:r>
      <w:proofErr w:type="gramEnd"/>
      <w:r w:rsidRPr="00C802F7">
        <w:rPr>
          <w:sz w:val="22"/>
          <w:szCs w:val="22"/>
        </w:rPr>
        <w:t xml:space="preserve"> can thiệp tỷ lệ thiếu kẽm như sau: nhóm chứng 65,7%, nhóm bổ sung kẽm là 40,9%, nhóm bổ sung sắt-kẽm là 47,4%. </w:t>
      </w:r>
    </w:p>
    <w:p w14:paraId="75C3FD41" w14:textId="77777777" w:rsidR="00984ED1" w:rsidRPr="00C802F7" w:rsidRDefault="00984ED1" w:rsidP="00A1659D">
      <w:pPr>
        <w:spacing w:line="280" w:lineRule="exact"/>
        <w:ind w:firstLine="426"/>
        <w:jc w:val="both"/>
        <w:rPr>
          <w:sz w:val="22"/>
          <w:szCs w:val="22"/>
        </w:rPr>
      </w:pPr>
      <w:r w:rsidRPr="00C802F7">
        <w:rPr>
          <w:sz w:val="22"/>
          <w:szCs w:val="22"/>
        </w:rPr>
        <w:t xml:space="preserve">Sự thay đổi tỷ lệ thiếu kẽm ở nhóm </w:t>
      </w:r>
      <w:proofErr w:type="gramStart"/>
      <w:r w:rsidRPr="00C802F7">
        <w:rPr>
          <w:sz w:val="22"/>
          <w:szCs w:val="22"/>
        </w:rPr>
        <w:t>chứng  giảm</w:t>
      </w:r>
      <w:proofErr w:type="gramEnd"/>
      <w:r w:rsidRPr="00C802F7">
        <w:rPr>
          <w:sz w:val="22"/>
          <w:szCs w:val="22"/>
        </w:rPr>
        <w:t xml:space="preserve"> 1,0%, nhóm bổ sung kẽm giảm 20,4%, và nhóm bổ sung sắt-kẽm giảm 21,7%. Có sự khác biệt YNTK về tỷ lệ thiếu kẽm trước và sau can thiệp ở nhóm bổ sung kẽm (p = 0,011) và nhóm bổ sung sắt + kẽm (p = 0,009).</w:t>
      </w:r>
    </w:p>
    <w:p w14:paraId="7AD78A74" w14:textId="2C9534EF" w:rsidR="00984ED1" w:rsidRPr="008D4648" w:rsidRDefault="00984ED1" w:rsidP="00A1659D">
      <w:pPr>
        <w:spacing w:before="120"/>
        <w:ind w:firstLine="426"/>
        <w:jc w:val="both"/>
        <w:rPr>
          <w:b/>
          <w:sz w:val="22"/>
          <w:szCs w:val="20"/>
        </w:rPr>
      </w:pPr>
      <w:r w:rsidRPr="008D4648">
        <w:rPr>
          <w:b/>
          <w:sz w:val="22"/>
          <w:szCs w:val="20"/>
        </w:rPr>
        <w:lastRenderedPageBreak/>
        <w:t xml:space="preserve">Bảng 3. </w:t>
      </w:r>
      <w:r w:rsidR="008D4648" w:rsidRPr="008D4648">
        <w:rPr>
          <w:b/>
          <w:sz w:val="22"/>
          <w:szCs w:val="20"/>
        </w:rPr>
        <w:t>10</w:t>
      </w:r>
      <w:r w:rsidRPr="008D4648">
        <w:rPr>
          <w:b/>
          <w:sz w:val="22"/>
          <w:szCs w:val="20"/>
        </w:rPr>
        <w:t>. Chỉ số hiệu quả đối với tình trạng thiếu kẽm sau can thiệp</w:t>
      </w:r>
    </w:p>
    <w:tbl>
      <w:tblPr>
        <w:tblW w:w="61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1112"/>
        <w:gridCol w:w="22"/>
        <w:gridCol w:w="567"/>
        <w:gridCol w:w="1091"/>
        <w:gridCol w:w="760"/>
      </w:tblGrid>
      <w:tr w:rsidR="00984ED1" w:rsidRPr="00984ED1" w14:paraId="6AA24767" w14:textId="77777777" w:rsidTr="00984ED1">
        <w:trPr>
          <w:trHeight w:val="258"/>
        </w:trPr>
        <w:tc>
          <w:tcPr>
            <w:tcW w:w="1985" w:type="dxa"/>
            <w:shd w:val="clear" w:color="auto" w:fill="auto"/>
            <w:vAlign w:val="center"/>
            <w:hideMark/>
          </w:tcPr>
          <w:p w14:paraId="39E772A9" w14:textId="77777777" w:rsidR="00984ED1" w:rsidRPr="00984ED1" w:rsidRDefault="00984ED1" w:rsidP="000606E3">
            <w:pPr>
              <w:autoSpaceDE w:val="0"/>
              <w:autoSpaceDN w:val="0"/>
              <w:adjustRightInd w:val="0"/>
              <w:spacing w:line="240" w:lineRule="exact"/>
              <w:ind w:right="49"/>
              <w:jc w:val="both"/>
              <w:rPr>
                <w:b/>
                <w:bCs/>
                <w:sz w:val="22"/>
                <w:szCs w:val="22"/>
              </w:rPr>
            </w:pPr>
            <w:r w:rsidRPr="00984ED1">
              <w:rPr>
                <w:b/>
                <w:bCs/>
                <w:sz w:val="22"/>
                <w:szCs w:val="22"/>
              </w:rPr>
              <w:t>Chỉ số</w:t>
            </w:r>
          </w:p>
        </w:tc>
        <w:tc>
          <w:tcPr>
            <w:tcW w:w="1679" w:type="dxa"/>
            <w:gridSpan w:val="2"/>
            <w:shd w:val="clear" w:color="auto" w:fill="auto"/>
            <w:vAlign w:val="center"/>
            <w:hideMark/>
          </w:tcPr>
          <w:p w14:paraId="7F26943C" w14:textId="77777777" w:rsidR="00984ED1" w:rsidRPr="00984ED1" w:rsidRDefault="00984ED1" w:rsidP="000606E3">
            <w:pPr>
              <w:autoSpaceDE w:val="0"/>
              <w:autoSpaceDN w:val="0"/>
              <w:adjustRightInd w:val="0"/>
              <w:spacing w:line="240" w:lineRule="exact"/>
              <w:ind w:right="49"/>
              <w:jc w:val="center"/>
              <w:rPr>
                <w:b/>
                <w:bCs/>
                <w:sz w:val="22"/>
                <w:szCs w:val="22"/>
              </w:rPr>
            </w:pPr>
            <w:r w:rsidRPr="00984ED1">
              <w:rPr>
                <w:b/>
                <w:bCs/>
                <w:sz w:val="22"/>
                <w:szCs w:val="22"/>
              </w:rPr>
              <w:t>Nhóm chứng</w:t>
            </w:r>
          </w:p>
        </w:tc>
        <w:tc>
          <w:tcPr>
            <w:tcW w:w="1680" w:type="dxa"/>
            <w:gridSpan w:val="3"/>
            <w:shd w:val="clear" w:color="auto" w:fill="auto"/>
            <w:vAlign w:val="center"/>
            <w:hideMark/>
          </w:tcPr>
          <w:p w14:paraId="0611AFA5" w14:textId="77777777" w:rsidR="00984ED1" w:rsidRPr="00984ED1" w:rsidRDefault="00984ED1" w:rsidP="000606E3">
            <w:pPr>
              <w:autoSpaceDE w:val="0"/>
              <w:autoSpaceDN w:val="0"/>
              <w:adjustRightInd w:val="0"/>
              <w:spacing w:line="240" w:lineRule="exact"/>
              <w:ind w:right="49"/>
              <w:jc w:val="center"/>
              <w:rPr>
                <w:b/>
                <w:bCs/>
                <w:sz w:val="22"/>
                <w:szCs w:val="22"/>
              </w:rPr>
            </w:pPr>
            <w:r w:rsidRPr="00984ED1">
              <w:rPr>
                <w:b/>
                <w:bCs/>
                <w:sz w:val="22"/>
                <w:szCs w:val="22"/>
              </w:rPr>
              <w:t>Nhóm bổ sung kẽm</w:t>
            </w:r>
          </w:p>
        </w:tc>
        <w:tc>
          <w:tcPr>
            <w:tcW w:w="760" w:type="dxa"/>
            <w:shd w:val="clear" w:color="auto" w:fill="auto"/>
            <w:vAlign w:val="center"/>
            <w:hideMark/>
          </w:tcPr>
          <w:p w14:paraId="6F8C0B81" w14:textId="77777777" w:rsidR="00C802F7" w:rsidRPr="00C802F7" w:rsidRDefault="00984ED1" w:rsidP="000606E3">
            <w:pPr>
              <w:spacing w:line="240" w:lineRule="exact"/>
              <w:ind w:right="49"/>
              <w:jc w:val="center"/>
              <w:rPr>
                <w:bCs/>
                <w:sz w:val="22"/>
                <w:szCs w:val="22"/>
              </w:rPr>
            </w:pPr>
            <w:r w:rsidRPr="00984ED1">
              <w:rPr>
                <w:b/>
                <w:bCs/>
                <w:sz w:val="22"/>
                <w:szCs w:val="22"/>
              </w:rPr>
              <w:t>p</w:t>
            </w:r>
          </w:p>
        </w:tc>
      </w:tr>
      <w:tr w:rsidR="00984ED1" w:rsidRPr="00984ED1" w14:paraId="0E022361" w14:textId="77777777" w:rsidTr="00984ED1">
        <w:trPr>
          <w:trHeight w:val="258"/>
        </w:trPr>
        <w:tc>
          <w:tcPr>
            <w:tcW w:w="1985" w:type="dxa"/>
            <w:shd w:val="clear" w:color="auto" w:fill="auto"/>
            <w:hideMark/>
          </w:tcPr>
          <w:p w14:paraId="6E9A17DA" w14:textId="77777777" w:rsidR="00984ED1" w:rsidRPr="00984ED1" w:rsidRDefault="00984ED1" w:rsidP="000606E3">
            <w:pPr>
              <w:autoSpaceDE w:val="0"/>
              <w:autoSpaceDN w:val="0"/>
              <w:adjustRightInd w:val="0"/>
              <w:spacing w:line="240" w:lineRule="exact"/>
              <w:ind w:right="49"/>
              <w:jc w:val="both"/>
              <w:rPr>
                <w:b/>
                <w:bCs/>
                <w:sz w:val="22"/>
                <w:szCs w:val="22"/>
              </w:rPr>
            </w:pPr>
            <w:r w:rsidRPr="00984ED1">
              <w:rPr>
                <w:b/>
                <w:bCs/>
                <w:sz w:val="22"/>
                <w:szCs w:val="22"/>
              </w:rPr>
              <w:t>Thiếu kẽm</w:t>
            </w:r>
          </w:p>
        </w:tc>
        <w:tc>
          <w:tcPr>
            <w:tcW w:w="567" w:type="dxa"/>
            <w:shd w:val="clear" w:color="auto" w:fill="auto"/>
            <w:hideMark/>
          </w:tcPr>
          <w:p w14:paraId="2891F371" w14:textId="77777777" w:rsidR="00984ED1" w:rsidRPr="00984ED1" w:rsidRDefault="00984ED1" w:rsidP="000606E3">
            <w:pPr>
              <w:autoSpaceDE w:val="0"/>
              <w:autoSpaceDN w:val="0"/>
              <w:adjustRightInd w:val="0"/>
              <w:spacing w:line="240" w:lineRule="exact"/>
              <w:ind w:right="49"/>
              <w:jc w:val="center"/>
              <w:rPr>
                <w:sz w:val="22"/>
                <w:szCs w:val="22"/>
              </w:rPr>
            </w:pPr>
            <w:r w:rsidRPr="00984ED1">
              <w:rPr>
                <w:sz w:val="22"/>
                <w:szCs w:val="22"/>
              </w:rPr>
              <w:t>65</w:t>
            </w:r>
          </w:p>
        </w:tc>
        <w:tc>
          <w:tcPr>
            <w:tcW w:w="1112" w:type="dxa"/>
            <w:shd w:val="clear" w:color="auto" w:fill="auto"/>
            <w:hideMark/>
          </w:tcPr>
          <w:p w14:paraId="0235099A" w14:textId="77777777" w:rsidR="00984ED1" w:rsidRPr="00984ED1" w:rsidRDefault="00984ED1" w:rsidP="000606E3">
            <w:pPr>
              <w:autoSpaceDE w:val="0"/>
              <w:autoSpaceDN w:val="0"/>
              <w:adjustRightInd w:val="0"/>
              <w:spacing w:line="240" w:lineRule="exact"/>
              <w:ind w:right="49"/>
              <w:jc w:val="center"/>
              <w:rPr>
                <w:sz w:val="22"/>
                <w:szCs w:val="22"/>
              </w:rPr>
            </w:pPr>
            <w:r w:rsidRPr="00984ED1">
              <w:rPr>
                <w:sz w:val="22"/>
                <w:szCs w:val="22"/>
              </w:rPr>
              <w:t>65,70%</w:t>
            </w:r>
          </w:p>
        </w:tc>
        <w:tc>
          <w:tcPr>
            <w:tcW w:w="589" w:type="dxa"/>
            <w:gridSpan w:val="2"/>
            <w:shd w:val="clear" w:color="auto" w:fill="auto"/>
            <w:hideMark/>
          </w:tcPr>
          <w:p w14:paraId="47BDFA5D" w14:textId="77777777" w:rsidR="00984ED1" w:rsidRPr="00984ED1" w:rsidRDefault="00984ED1" w:rsidP="000606E3">
            <w:pPr>
              <w:autoSpaceDE w:val="0"/>
              <w:autoSpaceDN w:val="0"/>
              <w:adjustRightInd w:val="0"/>
              <w:spacing w:line="240" w:lineRule="exact"/>
              <w:ind w:right="49"/>
              <w:jc w:val="center"/>
              <w:rPr>
                <w:sz w:val="22"/>
                <w:szCs w:val="22"/>
              </w:rPr>
            </w:pPr>
            <w:r w:rsidRPr="00984ED1">
              <w:rPr>
                <w:sz w:val="22"/>
                <w:szCs w:val="22"/>
              </w:rPr>
              <w:t>38</w:t>
            </w:r>
          </w:p>
        </w:tc>
        <w:tc>
          <w:tcPr>
            <w:tcW w:w="1091" w:type="dxa"/>
            <w:shd w:val="clear" w:color="auto" w:fill="auto"/>
            <w:hideMark/>
          </w:tcPr>
          <w:p w14:paraId="5E3A9C13" w14:textId="77777777" w:rsidR="00984ED1" w:rsidRPr="00984ED1" w:rsidRDefault="00984ED1" w:rsidP="000606E3">
            <w:pPr>
              <w:autoSpaceDE w:val="0"/>
              <w:autoSpaceDN w:val="0"/>
              <w:adjustRightInd w:val="0"/>
              <w:spacing w:line="240" w:lineRule="exact"/>
              <w:ind w:right="49"/>
              <w:jc w:val="center"/>
              <w:rPr>
                <w:sz w:val="22"/>
                <w:szCs w:val="22"/>
              </w:rPr>
            </w:pPr>
            <w:r w:rsidRPr="00984ED1">
              <w:rPr>
                <w:sz w:val="22"/>
                <w:szCs w:val="22"/>
              </w:rPr>
              <w:t>40,90%</w:t>
            </w:r>
          </w:p>
        </w:tc>
        <w:tc>
          <w:tcPr>
            <w:tcW w:w="760" w:type="dxa"/>
            <w:vMerge w:val="restart"/>
            <w:shd w:val="clear" w:color="auto" w:fill="auto"/>
            <w:hideMark/>
          </w:tcPr>
          <w:p w14:paraId="09827107" w14:textId="77777777" w:rsidR="00984ED1" w:rsidRPr="00984ED1" w:rsidRDefault="00984ED1" w:rsidP="000606E3">
            <w:pPr>
              <w:autoSpaceDE w:val="0"/>
              <w:autoSpaceDN w:val="0"/>
              <w:adjustRightInd w:val="0"/>
              <w:spacing w:line="240" w:lineRule="exact"/>
              <w:ind w:right="49"/>
              <w:jc w:val="center"/>
              <w:rPr>
                <w:sz w:val="22"/>
                <w:szCs w:val="22"/>
              </w:rPr>
            </w:pPr>
            <w:r w:rsidRPr="00984ED1">
              <w:rPr>
                <w:sz w:val="22"/>
                <w:szCs w:val="22"/>
              </w:rPr>
              <w:t>0,750</w:t>
            </w:r>
          </w:p>
          <w:p w14:paraId="6C36D123" w14:textId="77777777" w:rsidR="00984ED1" w:rsidRPr="00984ED1" w:rsidRDefault="00984ED1" w:rsidP="000606E3">
            <w:pPr>
              <w:autoSpaceDE w:val="0"/>
              <w:autoSpaceDN w:val="0"/>
              <w:adjustRightInd w:val="0"/>
              <w:spacing w:line="240" w:lineRule="exact"/>
              <w:ind w:right="49"/>
              <w:jc w:val="center"/>
              <w:rPr>
                <w:sz w:val="22"/>
                <w:szCs w:val="22"/>
              </w:rPr>
            </w:pPr>
          </w:p>
        </w:tc>
      </w:tr>
      <w:tr w:rsidR="00984ED1" w:rsidRPr="00984ED1" w14:paraId="3512839E" w14:textId="77777777" w:rsidTr="00984ED1">
        <w:trPr>
          <w:trHeight w:val="258"/>
        </w:trPr>
        <w:tc>
          <w:tcPr>
            <w:tcW w:w="1985" w:type="dxa"/>
            <w:shd w:val="clear" w:color="auto" w:fill="auto"/>
            <w:hideMark/>
          </w:tcPr>
          <w:p w14:paraId="0313F6DD" w14:textId="77777777" w:rsidR="00984ED1" w:rsidRPr="00984ED1" w:rsidRDefault="00984ED1" w:rsidP="000606E3">
            <w:pPr>
              <w:autoSpaceDE w:val="0"/>
              <w:autoSpaceDN w:val="0"/>
              <w:adjustRightInd w:val="0"/>
              <w:spacing w:line="240" w:lineRule="exact"/>
              <w:ind w:right="49"/>
              <w:jc w:val="both"/>
              <w:rPr>
                <w:b/>
                <w:bCs/>
                <w:sz w:val="22"/>
                <w:szCs w:val="22"/>
              </w:rPr>
            </w:pPr>
            <w:r w:rsidRPr="00984ED1">
              <w:rPr>
                <w:b/>
                <w:bCs/>
                <w:sz w:val="22"/>
                <w:szCs w:val="22"/>
              </w:rPr>
              <w:t>Không thiếu kẽm</w:t>
            </w:r>
          </w:p>
        </w:tc>
        <w:tc>
          <w:tcPr>
            <w:tcW w:w="567" w:type="dxa"/>
            <w:shd w:val="clear" w:color="auto" w:fill="auto"/>
            <w:hideMark/>
          </w:tcPr>
          <w:p w14:paraId="2FF23FB9" w14:textId="77777777" w:rsidR="00984ED1" w:rsidRPr="00984ED1" w:rsidRDefault="00984ED1" w:rsidP="000606E3">
            <w:pPr>
              <w:autoSpaceDE w:val="0"/>
              <w:autoSpaceDN w:val="0"/>
              <w:adjustRightInd w:val="0"/>
              <w:spacing w:line="240" w:lineRule="exact"/>
              <w:ind w:right="49"/>
              <w:jc w:val="center"/>
              <w:rPr>
                <w:sz w:val="22"/>
                <w:szCs w:val="22"/>
              </w:rPr>
            </w:pPr>
            <w:r w:rsidRPr="00984ED1">
              <w:rPr>
                <w:sz w:val="22"/>
                <w:szCs w:val="22"/>
              </w:rPr>
              <w:t>34</w:t>
            </w:r>
          </w:p>
        </w:tc>
        <w:tc>
          <w:tcPr>
            <w:tcW w:w="1112" w:type="dxa"/>
            <w:shd w:val="clear" w:color="auto" w:fill="auto"/>
            <w:hideMark/>
          </w:tcPr>
          <w:p w14:paraId="7B8361F7" w14:textId="77777777" w:rsidR="00984ED1" w:rsidRPr="00984ED1" w:rsidRDefault="00984ED1" w:rsidP="000606E3">
            <w:pPr>
              <w:autoSpaceDE w:val="0"/>
              <w:autoSpaceDN w:val="0"/>
              <w:adjustRightInd w:val="0"/>
              <w:spacing w:line="240" w:lineRule="exact"/>
              <w:ind w:right="49"/>
              <w:jc w:val="center"/>
              <w:rPr>
                <w:sz w:val="22"/>
                <w:szCs w:val="22"/>
              </w:rPr>
            </w:pPr>
            <w:r w:rsidRPr="00984ED1">
              <w:rPr>
                <w:sz w:val="22"/>
                <w:szCs w:val="22"/>
              </w:rPr>
              <w:t>34,30%</w:t>
            </w:r>
          </w:p>
        </w:tc>
        <w:tc>
          <w:tcPr>
            <w:tcW w:w="589" w:type="dxa"/>
            <w:gridSpan w:val="2"/>
            <w:shd w:val="clear" w:color="auto" w:fill="auto"/>
            <w:hideMark/>
          </w:tcPr>
          <w:p w14:paraId="7A5235B1" w14:textId="77777777" w:rsidR="00984ED1" w:rsidRPr="00984ED1" w:rsidRDefault="00984ED1" w:rsidP="000606E3">
            <w:pPr>
              <w:autoSpaceDE w:val="0"/>
              <w:autoSpaceDN w:val="0"/>
              <w:adjustRightInd w:val="0"/>
              <w:spacing w:line="240" w:lineRule="exact"/>
              <w:ind w:right="49"/>
              <w:jc w:val="center"/>
              <w:rPr>
                <w:sz w:val="22"/>
                <w:szCs w:val="22"/>
              </w:rPr>
            </w:pPr>
            <w:r w:rsidRPr="00984ED1">
              <w:rPr>
                <w:sz w:val="22"/>
                <w:szCs w:val="22"/>
              </w:rPr>
              <w:t>55</w:t>
            </w:r>
          </w:p>
        </w:tc>
        <w:tc>
          <w:tcPr>
            <w:tcW w:w="1091" w:type="dxa"/>
            <w:shd w:val="clear" w:color="auto" w:fill="auto"/>
            <w:hideMark/>
          </w:tcPr>
          <w:p w14:paraId="3EE2B5F8" w14:textId="77777777" w:rsidR="00984ED1" w:rsidRPr="00984ED1" w:rsidRDefault="00984ED1" w:rsidP="000606E3">
            <w:pPr>
              <w:autoSpaceDE w:val="0"/>
              <w:autoSpaceDN w:val="0"/>
              <w:adjustRightInd w:val="0"/>
              <w:spacing w:line="240" w:lineRule="exact"/>
              <w:ind w:right="49"/>
              <w:jc w:val="center"/>
              <w:rPr>
                <w:sz w:val="22"/>
                <w:szCs w:val="22"/>
              </w:rPr>
            </w:pPr>
            <w:r w:rsidRPr="00984ED1">
              <w:rPr>
                <w:sz w:val="22"/>
                <w:szCs w:val="22"/>
              </w:rPr>
              <w:t>59,10%</w:t>
            </w:r>
          </w:p>
        </w:tc>
        <w:tc>
          <w:tcPr>
            <w:tcW w:w="760" w:type="dxa"/>
            <w:vMerge/>
            <w:shd w:val="clear" w:color="auto" w:fill="auto"/>
            <w:hideMark/>
          </w:tcPr>
          <w:p w14:paraId="1A6BCFE0" w14:textId="77777777" w:rsidR="00984ED1" w:rsidRPr="00984ED1" w:rsidRDefault="00984ED1" w:rsidP="000606E3">
            <w:pPr>
              <w:spacing w:line="240" w:lineRule="exact"/>
              <w:ind w:right="49"/>
              <w:jc w:val="center"/>
              <w:rPr>
                <w:sz w:val="22"/>
                <w:szCs w:val="22"/>
              </w:rPr>
            </w:pPr>
          </w:p>
        </w:tc>
      </w:tr>
      <w:tr w:rsidR="00984ED1" w:rsidRPr="00984ED1" w14:paraId="4B84F2AE" w14:textId="77777777" w:rsidTr="00984ED1">
        <w:trPr>
          <w:trHeight w:val="258"/>
        </w:trPr>
        <w:tc>
          <w:tcPr>
            <w:tcW w:w="1985" w:type="dxa"/>
            <w:shd w:val="clear" w:color="auto" w:fill="auto"/>
            <w:hideMark/>
          </w:tcPr>
          <w:p w14:paraId="22500391" w14:textId="77777777" w:rsidR="00984ED1" w:rsidRPr="00984ED1" w:rsidRDefault="00984ED1" w:rsidP="000606E3">
            <w:pPr>
              <w:spacing w:line="240" w:lineRule="exact"/>
              <w:ind w:right="49"/>
              <w:jc w:val="both"/>
              <w:rPr>
                <w:b/>
                <w:bCs/>
                <w:sz w:val="22"/>
                <w:szCs w:val="22"/>
              </w:rPr>
            </w:pPr>
            <w:r w:rsidRPr="00984ED1">
              <w:rPr>
                <w:b/>
                <w:bCs/>
                <w:sz w:val="22"/>
                <w:szCs w:val="22"/>
              </w:rPr>
              <w:t>ARR</w:t>
            </w:r>
          </w:p>
        </w:tc>
        <w:tc>
          <w:tcPr>
            <w:tcW w:w="3359" w:type="dxa"/>
            <w:gridSpan w:val="5"/>
            <w:shd w:val="clear" w:color="auto" w:fill="auto"/>
            <w:hideMark/>
          </w:tcPr>
          <w:p w14:paraId="72A589DF" w14:textId="77777777" w:rsidR="00984ED1" w:rsidRPr="00984ED1" w:rsidRDefault="00984ED1" w:rsidP="000606E3">
            <w:pPr>
              <w:spacing w:line="240" w:lineRule="exact"/>
              <w:ind w:right="49"/>
              <w:jc w:val="center"/>
              <w:rPr>
                <w:sz w:val="22"/>
                <w:szCs w:val="22"/>
              </w:rPr>
            </w:pPr>
            <w:r w:rsidRPr="00984ED1">
              <w:rPr>
                <w:sz w:val="22"/>
                <w:szCs w:val="22"/>
              </w:rPr>
              <w:t>24,8</w:t>
            </w:r>
          </w:p>
        </w:tc>
        <w:tc>
          <w:tcPr>
            <w:tcW w:w="760" w:type="dxa"/>
            <w:shd w:val="clear" w:color="auto" w:fill="auto"/>
          </w:tcPr>
          <w:p w14:paraId="53A712B1" w14:textId="77777777" w:rsidR="00984ED1" w:rsidRPr="00984ED1" w:rsidRDefault="00984ED1" w:rsidP="000606E3">
            <w:pPr>
              <w:autoSpaceDE w:val="0"/>
              <w:autoSpaceDN w:val="0"/>
              <w:adjustRightInd w:val="0"/>
              <w:spacing w:line="240" w:lineRule="exact"/>
              <w:ind w:right="49"/>
              <w:jc w:val="center"/>
              <w:rPr>
                <w:sz w:val="22"/>
                <w:szCs w:val="22"/>
              </w:rPr>
            </w:pPr>
          </w:p>
        </w:tc>
      </w:tr>
      <w:tr w:rsidR="00984ED1" w:rsidRPr="00984ED1" w14:paraId="6C2BDA27" w14:textId="77777777" w:rsidTr="00984ED1">
        <w:trPr>
          <w:trHeight w:val="258"/>
        </w:trPr>
        <w:tc>
          <w:tcPr>
            <w:tcW w:w="1985" w:type="dxa"/>
            <w:shd w:val="clear" w:color="auto" w:fill="auto"/>
            <w:hideMark/>
          </w:tcPr>
          <w:p w14:paraId="465EEA02" w14:textId="77777777" w:rsidR="00984ED1" w:rsidRPr="00984ED1" w:rsidRDefault="00984ED1" w:rsidP="000606E3">
            <w:pPr>
              <w:spacing w:line="240" w:lineRule="exact"/>
              <w:ind w:right="49"/>
              <w:jc w:val="both"/>
              <w:rPr>
                <w:b/>
                <w:bCs/>
                <w:sz w:val="22"/>
                <w:szCs w:val="22"/>
              </w:rPr>
            </w:pPr>
            <w:r w:rsidRPr="00984ED1">
              <w:rPr>
                <w:b/>
                <w:bCs/>
                <w:sz w:val="22"/>
                <w:szCs w:val="22"/>
              </w:rPr>
              <w:t>NNT</w:t>
            </w:r>
          </w:p>
        </w:tc>
        <w:tc>
          <w:tcPr>
            <w:tcW w:w="3359" w:type="dxa"/>
            <w:gridSpan w:val="5"/>
            <w:shd w:val="clear" w:color="auto" w:fill="auto"/>
            <w:hideMark/>
          </w:tcPr>
          <w:p w14:paraId="42441EAD" w14:textId="77777777" w:rsidR="00984ED1" w:rsidRPr="00984ED1" w:rsidRDefault="00984ED1" w:rsidP="000606E3">
            <w:pPr>
              <w:spacing w:line="240" w:lineRule="exact"/>
              <w:ind w:right="49"/>
              <w:jc w:val="center"/>
              <w:rPr>
                <w:sz w:val="22"/>
                <w:szCs w:val="22"/>
              </w:rPr>
            </w:pPr>
            <w:r w:rsidRPr="00984ED1">
              <w:rPr>
                <w:sz w:val="22"/>
                <w:szCs w:val="22"/>
              </w:rPr>
              <w:t>4,03</w:t>
            </w:r>
          </w:p>
        </w:tc>
        <w:tc>
          <w:tcPr>
            <w:tcW w:w="760" w:type="dxa"/>
            <w:shd w:val="clear" w:color="auto" w:fill="auto"/>
          </w:tcPr>
          <w:p w14:paraId="4A59A56B" w14:textId="77777777" w:rsidR="00984ED1" w:rsidRPr="00984ED1" w:rsidRDefault="00984ED1" w:rsidP="000606E3">
            <w:pPr>
              <w:autoSpaceDE w:val="0"/>
              <w:autoSpaceDN w:val="0"/>
              <w:adjustRightInd w:val="0"/>
              <w:spacing w:line="240" w:lineRule="exact"/>
              <w:ind w:right="49"/>
              <w:jc w:val="center"/>
              <w:rPr>
                <w:sz w:val="22"/>
                <w:szCs w:val="22"/>
              </w:rPr>
            </w:pPr>
          </w:p>
        </w:tc>
      </w:tr>
      <w:tr w:rsidR="00984ED1" w:rsidRPr="00984ED1" w14:paraId="1F771674" w14:textId="77777777" w:rsidTr="00984ED1">
        <w:trPr>
          <w:trHeight w:val="258"/>
        </w:trPr>
        <w:tc>
          <w:tcPr>
            <w:tcW w:w="1985" w:type="dxa"/>
            <w:shd w:val="clear" w:color="auto" w:fill="auto"/>
            <w:vAlign w:val="center"/>
          </w:tcPr>
          <w:p w14:paraId="695CF3AA" w14:textId="77777777" w:rsidR="00984ED1" w:rsidRPr="00984ED1" w:rsidRDefault="00984ED1" w:rsidP="000606E3">
            <w:pPr>
              <w:autoSpaceDE w:val="0"/>
              <w:autoSpaceDN w:val="0"/>
              <w:adjustRightInd w:val="0"/>
              <w:spacing w:line="240" w:lineRule="exact"/>
              <w:ind w:right="49"/>
              <w:jc w:val="both"/>
              <w:rPr>
                <w:b/>
                <w:bCs/>
                <w:sz w:val="22"/>
                <w:szCs w:val="22"/>
              </w:rPr>
            </w:pPr>
            <w:r w:rsidRPr="00984ED1">
              <w:rPr>
                <w:b/>
                <w:bCs/>
                <w:sz w:val="22"/>
                <w:szCs w:val="22"/>
              </w:rPr>
              <w:t>Chỉ số</w:t>
            </w:r>
          </w:p>
        </w:tc>
        <w:tc>
          <w:tcPr>
            <w:tcW w:w="1701" w:type="dxa"/>
            <w:gridSpan w:val="3"/>
            <w:shd w:val="clear" w:color="auto" w:fill="auto"/>
            <w:vAlign w:val="center"/>
          </w:tcPr>
          <w:p w14:paraId="2DFCB75F" w14:textId="77777777" w:rsidR="00984ED1" w:rsidRPr="00984ED1" w:rsidRDefault="00984ED1" w:rsidP="000606E3">
            <w:pPr>
              <w:autoSpaceDE w:val="0"/>
              <w:autoSpaceDN w:val="0"/>
              <w:adjustRightInd w:val="0"/>
              <w:spacing w:line="240" w:lineRule="exact"/>
              <w:ind w:right="49"/>
              <w:jc w:val="center"/>
              <w:rPr>
                <w:b/>
                <w:bCs/>
                <w:sz w:val="22"/>
                <w:szCs w:val="22"/>
              </w:rPr>
            </w:pPr>
            <w:r w:rsidRPr="00984ED1">
              <w:rPr>
                <w:b/>
                <w:bCs/>
                <w:sz w:val="22"/>
                <w:szCs w:val="22"/>
              </w:rPr>
              <w:t>Nhóm chứng</w:t>
            </w:r>
          </w:p>
        </w:tc>
        <w:tc>
          <w:tcPr>
            <w:tcW w:w="1658" w:type="dxa"/>
            <w:gridSpan w:val="2"/>
            <w:shd w:val="clear" w:color="auto" w:fill="auto"/>
            <w:vAlign w:val="center"/>
          </w:tcPr>
          <w:p w14:paraId="53137F98" w14:textId="77777777" w:rsidR="00984ED1" w:rsidRPr="00984ED1" w:rsidRDefault="00984ED1" w:rsidP="000606E3">
            <w:pPr>
              <w:autoSpaceDE w:val="0"/>
              <w:autoSpaceDN w:val="0"/>
              <w:adjustRightInd w:val="0"/>
              <w:spacing w:line="240" w:lineRule="exact"/>
              <w:ind w:right="49"/>
              <w:jc w:val="center"/>
              <w:rPr>
                <w:b/>
                <w:bCs/>
                <w:sz w:val="22"/>
                <w:szCs w:val="22"/>
              </w:rPr>
            </w:pPr>
            <w:r w:rsidRPr="00984ED1">
              <w:rPr>
                <w:b/>
                <w:bCs/>
                <w:sz w:val="22"/>
                <w:szCs w:val="22"/>
              </w:rPr>
              <w:t>Nhóm bổ sung sắt-</w:t>
            </w:r>
            <w:r w:rsidRPr="00984ED1">
              <w:rPr>
                <w:b/>
                <w:bCs/>
                <w:sz w:val="22"/>
                <w:szCs w:val="22"/>
                <w:lang w:val="it-IT"/>
              </w:rPr>
              <w:t>kẽm</w:t>
            </w:r>
          </w:p>
        </w:tc>
        <w:tc>
          <w:tcPr>
            <w:tcW w:w="760" w:type="dxa"/>
            <w:shd w:val="clear" w:color="auto" w:fill="auto"/>
            <w:vAlign w:val="center"/>
          </w:tcPr>
          <w:p w14:paraId="2E12BA05" w14:textId="77777777" w:rsidR="00984ED1" w:rsidRPr="00984ED1" w:rsidRDefault="000606E3" w:rsidP="000606E3">
            <w:pPr>
              <w:spacing w:line="240" w:lineRule="exact"/>
              <w:ind w:right="49"/>
              <w:jc w:val="center"/>
              <w:rPr>
                <w:b/>
                <w:bCs/>
                <w:sz w:val="22"/>
                <w:szCs w:val="22"/>
              </w:rPr>
            </w:pPr>
            <w:r>
              <w:rPr>
                <w:b/>
                <w:bCs/>
                <w:sz w:val="22"/>
                <w:szCs w:val="22"/>
              </w:rPr>
              <w:t>p</w:t>
            </w:r>
          </w:p>
        </w:tc>
      </w:tr>
      <w:tr w:rsidR="00984ED1" w:rsidRPr="00984ED1" w14:paraId="6229C7D0" w14:textId="77777777" w:rsidTr="00984ED1">
        <w:trPr>
          <w:trHeight w:val="258"/>
        </w:trPr>
        <w:tc>
          <w:tcPr>
            <w:tcW w:w="1985" w:type="dxa"/>
            <w:shd w:val="clear" w:color="auto" w:fill="auto"/>
            <w:hideMark/>
          </w:tcPr>
          <w:p w14:paraId="36A5224E" w14:textId="77777777" w:rsidR="00984ED1" w:rsidRPr="00984ED1" w:rsidRDefault="00984ED1" w:rsidP="000606E3">
            <w:pPr>
              <w:autoSpaceDE w:val="0"/>
              <w:autoSpaceDN w:val="0"/>
              <w:adjustRightInd w:val="0"/>
              <w:spacing w:line="240" w:lineRule="exact"/>
              <w:ind w:right="49"/>
              <w:jc w:val="both"/>
              <w:rPr>
                <w:b/>
                <w:bCs/>
                <w:sz w:val="22"/>
                <w:szCs w:val="22"/>
              </w:rPr>
            </w:pPr>
            <w:r w:rsidRPr="00984ED1">
              <w:rPr>
                <w:b/>
                <w:bCs/>
                <w:sz w:val="22"/>
                <w:szCs w:val="22"/>
              </w:rPr>
              <w:t>Thiếu kẽm</w:t>
            </w:r>
          </w:p>
        </w:tc>
        <w:tc>
          <w:tcPr>
            <w:tcW w:w="567" w:type="dxa"/>
            <w:shd w:val="clear" w:color="auto" w:fill="auto"/>
            <w:hideMark/>
          </w:tcPr>
          <w:p w14:paraId="7821CCB8" w14:textId="77777777" w:rsidR="00984ED1" w:rsidRPr="00984ED1" w:rsidRDefault="00984ED1" w:rsidP="000606E3">
            <w:pPr>
              <w:autoSpaceDE w:val="0"/>
              <w:autoSpaceDN w:val="0"/>
              <w:adjustRightInd w:val="0"/>
              <w:spacing w:line="240" w:lineRule="exact"/>
              <w:ind w:right="49"/>
              <w:jc w:val="center"/>
              <w:rPr>
                <w:sz w:val="22"/>
                <w:szCs w:val="22"/>
              </w:rPr>
            </w:pPr>
            <w:r w:rsidRPr="00984ED1">
              <w:rPr>
                <w:sz w:val="22"/>
                <w:szCs w:val="22"/>
              </w:rPr>
              <w:t>65</w:t>
            </w:r>
          </w:p>
        </w:tc>
        <w:tc>
          <w:tcPr>
            <w:tcW w:w="1134" w:type="dxa"/>
            <w:gridSpan w:val="2"/>
            <w:shd w:val="clear" w:color="auto" w:fill="auto"/>
            <w:hideMark/>
          </w:tcPr>
          <w:p w14:paraId="43B7AC80" w14:textId="77777777" w:rsidR="00984ED1" w:rsidRPr="00984ED1" w:rsidRDefault="00984ED1" w:rsidP="000606E3">
            <w:pPr>
              <w:autoSpaceDE w:val="0"/>
              <w:autoSpaceDN w:val="0"/>
              <w:adjustRightInd w:val="0"/>
              <w:spacing w:line="240" w:lineRule="exact"/>
              <w:ind w:right="49"/>
              <w:jc w:val="center"/>
              <w:rPr>
                <w:sz w:val="22"/>
                <w:szCs w:val="22"/>
              </w:rPr>
            </w:pPr>
            <w:r w:rsidRPr="00984ED1">
              <w:rPr>
                <w:sz w:val="22"/>
                <w:szCs w:val="22"/>
              </w:rPr>
              <w:t>65,70%</w:t>
            </w:r>
          </w:p>
        </w:tc>
        <w:tc>
          <w:tcPr>
            <w:tcW w:w="567" w:type="dxa"/>
            <w:shd w:val="clear" w:color="auto" w:fill="auto"/>
            <w:hideMark/>
          </w:tcPr>
          <w:p w14:paraId="78617580" w14:textId="77777777" w:rsidR="00984ED1" w:rsidRPr="00984ED1" w:rsidRDefault="00984ED1" w:rsidP="000606E3">
            <w:pPr>
              <w:autoSpaceDE w:val="0"/>
              <w:autoSpaceDN w:val="0"/>
              <w:adjustRightInd w:val="0"/>
              <w:spacing w:line="240" w:lineRule="exact"/>
              <w:ind w:right="49"/>
              <w:jc w:val="center"/>
              <w:rPr>
                <w:sz w:val="22"/>
                <w:szCs w:val="22"/>
              </w:rPr>
            </w:pPr>
            <w:r w:rsidRPr="00984ED1">
              <w:rPr>
                <w:sz w:val="22"/>
                <w:szCs w:val="22"/>
              </w:rPr>
              <w:t>46</w:t>
            </w:r>
          </w:p>
        </w:tc>
        <w:tc>
          <w:tcPr>
            <w:tcW w:w="1091" w:type="dxa"/>
            <w:shd w:val="clear" w:color="auto" w:fill="auto"/>
            <w:hideMark/>
          </w:tcPr>
          <w:p w14:paraId="4DE5A8E2" w14:textId="77777777" w:rsidR="00984ED1" w:rsidRPr="00984ED1" w:rsidRDefault="00984ED1" w:rsidP="000606E3">
            <w:pPr>
              <w:autoSpaceDE w:val="0"/>
              <w:autoSpaceDN w:val="0"/>
              <w:adjustRightInd w:val="0"/>
              <w:spacing w:line="240" w:lineRule="exact"/>
              <w:ind w:right="49"/>
              <w:jc w:val="center"/>
              <w:rPr>
                <w:sz w:val="22"/>
                <w:szCs w:val="22"/>
              </w:rPr>
            </w:pPr>
            <w:r w:rsidRPr="00984ED1">
              <w:rPr>
                <w:sz w:val="22"/>
                <w:szCs w:val="22"/>
              </w:rPr>
              <w:t>47,40%</w:t>
            </w:r>
          </w:p>
        </w:tc>
        <w:tc>
          <w:tcPr>
            <w:tcW w:w="760" w:type="dxa"/>
            <w:vMerge w:val="restart"/>
            <w:shd w:val="clear" w:color="auto" w:fill="auto"/>
            <w:hideMark/>
          </w:tcPr>
          <w:p w14:paraId="7E8CC9D4" w14:textId="77777777" w:rsidR="00984ED1" w:rsidRPr="00984ED1" w:rsidRDefault="00984ED1" w:rsidP="000606E3">
            <w:pPr>
              <w:autoSpaceDE w:val="0"/>
              <w:autoSpaceDN w:val="0"/>
              <w:adjustRightInd w:val="0"/>
              <w:spacing w:line="240" w:lineRule="exact"/>
              <w:ind w:right="49"/>
              <w:jc w:val="center"/>
              <w:rPr>
                <w:sz w:val="22"/>
                <w:szCs w:val="22"/>
              </w:rPr>
            </w:pPr>
            <w:r w:rsidRPr="00984ED1">
              <w:rPr>
                <w:sz w:val="22"/>
                <w:szCs w:val="22"/>
              </w:rPr>
              <w:t>0,010</w:t>
            </w:r>
          </w:p>
          <w:p w14:paraId="7A27C126" w14:textId="77777777" w:rsidR="00984ED1" w:rsidRPr="00984ED1" w:rsidRDefault="00984ED1" w:rsidP="000606E3">
            <w:pPr>
              <w:autoSpaceDE w:val="0"/>
              <w:autoSpaceDN w:val="0"/>
              <w:adjustRightInd w:val="0"/>
              <w:spacing w:line="240" w:lineRule="exact"/>
              <w:ind w:right="49"/>
              <w:jc w:val="center"/>
              <w:rPr>
                <w:sz w:val="22"/>
                <w:szCs w:val="22"/>
              </w:rPr>
            </w:pPr>
          </w:p>
        </w:tc>
      </w:tr>
      <w:tr w:rsidR="00984ED1" w:rsidRPr="00984ED1" w14:paraId="03B55CD9" w14:textId="77777777" w:rsidTr="00984ED1">
        <w:trPr>
          <w:trHeight w:val="258"/>
        </w:trPr>
        <w:tc>
          <w:tcPr>
            <w:tcW w:w="1985" w:type="dxa"/>
            <w:shd w:val="clear" w:color="auto" w:fill="auto"/>
            <w:hideMark/>
          </w:tcPr>
          <w:p w14:paraId="77E35DE3" w14:textId="77777777" w:rsidR="00984ED1" w:rsidRPr="00984ED1" w:rsidRDefault="00984ED1" w:rsidP="000606E3">
            <w:pPr>
              <w:autoSpaceDE w:val="0"/>
              <w:autoSpaceDN w:val="0"/>
              <w:adjustRightInd w:val="0"/>
              <w:spacing w:line="240" w:lineRule="exact"/>
              <w:ind w:right="49"/>
              <w:jc w:val="both"/>
              <w:rPr>
                <w:b/>
                <w:bCs/>
                <w:sz w:val="22"/>
                <w:szCs w:val="22"/>
              </w:rPr>
            </w:pPr>
            <w:r w:rsidRPr="00984ED1">
              <w:rPr>
                <w:b/>
                <w:bCs/>
                <w:sz w:val="22"/>
                <w:szCs w:val="22"/>
              </w:rPr>
              <w:t>Không thiếu kẽm</w:t>
            </w:r>
          </w:p>
        </w:tc>
        <w:tc>
          <w:tcPr>
            <w:tcW w:w="567" w:type="dxa"/>
            <w:shd w:val="clear" w:color="auto" w:fill="auto"/>
            <w:hideMark/>
          </w:tcPr>
          <w:p w14:paraId="6895B9CF" w14:textId="77777777" w:rsidR="00984ED1" w:rsidRPr="00984ED1" w:rsidRDefault="00984ED1" w:rsidP="000606E3">
            <w:pPr>
              <w:autoSpaceDE w:val="0"/>
              <w:autoSpaceDN w:val="0"/>
              <w:adjustRightInd w:val="0"/>
              <w:spacing w:line="240" w:lineRule="exact"/>
              <w:ind w:right="49"/>
              <w:jc w:val="center"/>
              <w:rPr>
                <w:sz w:val="22"/>
                <w:szCs w:val="22"/>
              </w:rPr>
            </w:pPr>
            <w:r w:rsidRPr="00984ED1">
              <w:rPr>
                <w:sz w:val="22"/>
                <w:szCs w:val="22"/>
              </w:rPr>
              <w:t>34</w:t>
            </w:r>
          </w:p>
        </w:tc>
        <w:tc>
          <w:tcPr>
            <w:tcW w:w="1134" w:type="dxa"/>
            <w:gridSpan w:val="2"/>
            <w:shd w:val="clear" w:color="auto" w:fill="auto"/>
            <w:hideMark/>
          </w:tcPr>
          <w:p w14:paraId="53062D37" w14:textId="77777777" w:rsidR="00984ED1" w:rsidRPr="00984ED1" w:rsidRDefault="00984ED1" w:rsidP="000606E3">
            <w:pPr>
              <w:autoSpaceDE w:val="0"/>
              <w:autoSpaceDN w:val="0"/>
              <w:adjustRightInd w:val="0"/>
              <w:spacing w:line="240" w:lineRule="exact"/>
              <w:ind w:right="49"/>
              <w:jc w:val="center"/>
              <w:rPr>
                <w:sz w:val="22"/>
                <w:szCs w:val="22"/>
              </w:rPr>
            </w:pPr>
            <w:r w:rsidRPr="00984ED1">
              <w:rPr>
                <w:sz w:val="22"/>
                <w:szCs w:val="22"/>
              </w:rPr>
              <w:t>34,30%</w:t>
            </w:r>
          </w:p>
        </w:tc>
        <w:tc>
          <w:tcPr>
            <w:tcW w:w="567" w:type="dxa"/>
            <w:shd w:val="clear" w:color="auto" w:fill="auto"/>
            <w:hideMark/>
          </w:tcPr>
          <w:p w14:paraId="2F0169DA" w14:textId="77777777" w:rsidR="00984ED1" w:rsidRPr="00984ED1" w:rsidRDefault="00984ED1" w:rsidP="000606E3">
            <w:pPr>
              <w:autoSpaceDE w:val="0"/>
              <w:autoSpaceDN w:val="0"/>
              <w:adjustRightInd w:val="0"/>
              <w:spacing w:line="240" w:lineRule="exact"/>
              <w:ind w:right="49"/>
              <w:jc w:val="center"/>
              <w:rPr>
                <w:sz w:val="22"/>
                <w:szCs w:val="22"/>
              </w:rPr>
            </w:pPr>
            <w:r w:rsidRPr="00984ED1">
              <w:rPr>
                <w:sz w:val="22"/>
                <w:szCs w:val="22"/>
              </w:rPr>
              <w:t>51</w:t>
            </w:r>
          </w:p>
        </w:tc>
        <w:tc>
          <w:tcPr>
            <w:tcW w:w="1091" w:type="dxa"/>
            <w:shd w:val="clear" w:color="auto" w:fill="auto"/>
            <w:hideMark/>
          </w:tcPr>
          <w:p w14:paraId="6446A5FC" w14:textId="77777777" w:rsidR="00984ED1" w:rsidRPr="00984ED1" w:rsidRDefault="00984ED1" w:rsidP="000606E3">
            <w:pPr>
              <w:autoSpaceDE w:val="0"/>
              <w:autoSpaceDN w:val="0"/>
              <w:adjustRightInd w:val="0"/>
              <w:spacing w:line="240" w:lineRule="exact"/>
              <w:ind w:right="49"/>
              <w:jc w:val="center"/>
              <w:rPr>
                <w:sz w:val="22"/>
                <w:szCs w:val="22"/>
              </w:rPr>
            </w:pPr>
            <w:r w:rsidRPr="00984ED1">
              <w:rPr>
                <w:sz w:val="22"/>
                <w:szCs w:val="22"/>
              </w:rPr>
              <w:t>52,60%</w:t>
            </w:r>
          </w:p>
        </w:tc>
        <w:tc>
          <w:tcPr>
            <w:tcW w:w="760" w:type="dxa"/>
            <w:vMerge/>
            <w:shd w:val="clear" w:color="auto" w:fill="auto"/>
            <w:hideMark/>
          </w:tcPr>
          <w:p w14:paraId="055AB3EE" w14:textId="77777777" w:rsidR="00984ED1" w:rsidRPr="00984ED1" w:rsidRDefault="00984ED1" w:rsidP="000606E3">
            <w:pPr>
              <w:spacing w:line="240" w:lineRule="exact"/>
              <w:ind w:right="49"/>
              <w:jc w:val="center"/>
              <w:rPr>
                <w:sz w:val="22"/>
                <w:szCs w:val="22"/>
              </w:rPr>
            </w:pPr>
          </w:p>
        </w:tc>
      </w:tr>
      <w:tr w:rsidR="00984ED1" w:rsidRPr="00984ED1" w14:paraId="6D2D6AC8" w14:textId="77777777" w:rsidTr="00984ED1">
        <w:trPr>
          <w:trHeight w:val="258"/>
        </w:trPr>
        <w:tc>
          <w:tcPr>
            <w:tcW w:w="1985" w:type="dxa"/>
            <w:shd w:val="clear" w:color="auto" w:fill="auto"/>
            <w:hideMark/>
          </w:tcPr>
          <w:p w14:paraId="5FB7AAD3" w14:textId="77777777" w:rsidR="00984ED1" w:rsidRPr="00984ED1" w:rsidRDefault="00984ED1" w:rsidP="000606E3">
            <w:pPr>
              <w:spacing w:line="240" w:lineRule="exact"/>
              <w:ind w:right="49"/>
              <w:jc w:val="both"/>
              <w:rPr>
                <w:b/>
                <w:bCs/>
                <w:sz w:val="22"/>
                <w:szCs w:val="22"/>
              </w:rPr>
            </w:pPr>
            <w:r w:rsidRPr="00984ED1">
              <w:rPr>
                <w:b/>
                <w:bCs/>
                <w:sz w:val="22"/>
                <w:szCs w:val="22"/>
              </w:rPr>
              <w:t>ARR</w:t>
            </w:r>
          </w:p>
        </w:tc>
        <w:tc>
          <w:tcPr>
            <w:tcW w:w="3359" w:type="dxa"/>
            <w:gridSpan w:val="5"/>
            <w:shd w:val="clear" w:color="auto" w:fill="auto"/>
            <w:hideMark/>
          </w:tcPr>
          <w:p w14:paraId="2421511F" w14:textId="77777777" w:rsidR="00984ED1" w:rsidRPr="00984ED1" w:rsidRDefault="00984ED1" w:rsidP="000606E3">
            <w:pPr>
              <w:spacing w:line="240" w:lineRule="exact"/>
              <w:ind w:right="49"/>
              <w:jc w:val="center"/>
              <w:rPr>
                <w:sz w:val="22"/>
                <w:szCs w:val="22"/>
              </w:rPr>
            </w:pPr>
            <w:r w:rsidRPr="00984ED1">
              <w:rPr>
                <w:sz w:val="22"/>
                <w:szCs w:val="22"/>
              </w:rPr>
              <w:t>18,3</w:t>
            </w:r>
          </w:p>
        </w:tc>
        <w:tc>
          <w:tcPr>
            <w:tcW w:w="760" w:type="dxa"/>
            <w:shd w:val="clear" w:color="auto" w:fill="auto"/>
          </w:tcPr>
          <w:p w14:paraId="2D31DE64" w14:textId="77777777" w:rsidR="00984ED1" w:rsidRPr="00984ED1" w:rsidRDefault="00984ED1" w:rsidP="000606E3">
            <w:pPr>
              <w:autoSpaceDE w:val="0"/>
              <w:autoSpaceDN w:val="0"/>
              <w:adjustRightInd w:val="0"/>
              <w:spacing w:line="240" w:lineRule="exact"/>
              <w:ind w:right="49"/>
              <w:jc w:val="center"/>
              <w:rPr>
                <w:sz w:val="22"/>
                <w:szCs w:val="22"/>
              </w:rPr>
            </w:pPr>
          </w:p>
        </w:tc>
      </w:tr>
      <w:tr w:rsidR="00984ED1" w:rsidRPr="00984ED1" w14:paraId="0D15B7FC" w14:textId="77777777" w:rsidTr="00984ED1">
        <w:trPr>
          <w:trHeight w:val="258"/>
        </w:trPr>
        <w:tc>
          <w:tcPr>
            <w:tcW w:w="1985" w:type="dxa"/>
            <w:shd w:val="clear" w:color="auto" w:fill="auto"/>
            <w:hideMark/>
          </w:tcPr>
          <w:p w14:paraId="02666D4D" w14:textId="77777777" w:rsidR="00984ED1" w:rsidRPr="00984ED1" w:rsidRDefault="00984ED1" w:rsidP="000606E3">
            <w:pPr>
              <w:spacing w:line="240" w:lineRule="exact"/>
              <w:ind w:right="49"/>
              <w:jc w:val="both"/>
              <w:rPr>
                <w:b/>
                <w:bCs/>
                <w:sz w:val="22"/>
                <w:szCs w:val="22"/>
              </w:rPr>
            </w:pPr>
            <w:r w:rsidRPr="00984ED1">
              <w:rPr>
                <w:b/>
                <w:bCs/>
                <w:sz w:val="22"/>
                <w:szCs w:val="22"/>
              </w:rPr>
              <w:t>NNT</w:t>
            </w:r>
          </w:p>
        </w:tc>
        <w:tc>
          <w:tcPr>
            <w:tcW w:w="3359" w:type="dxa"/>
            <w:gridSpan w:val="5"/>
            <w:shd w:val="clear" w:color="auto" w:fill="auto"/>
            <w:hideMark/>
          </w:tcPr>
          <w:p w14:paraId="2E7BD327" w14:textId="77777777" w:rsidR="00984ED1" w:rsidRPr="00984ED1" w:rsidRDefault="00984ED1" w:rsidP="000606E3">
            <w:pPr>
              <w:spacing w:line="240" w:lineRule="exact"/>
              <w:ind w:right="49"/>
              <w:jc w:val="center"/>
              <w:rPr>
                <w:sz w:val="22"/>
                <w:szCs w:val="22"/>
              </w:rPr>
            </w:pPr>
            <w:r w:rsidRPr="00984ED1">
              <w:rPr>
                <w:sz w:val="22"/>
                <w:szCs w:val="22"/>
              </w:rPr>
              <w:t>5,46</w:t>
            </w:r>
          </w:p>
        </w:tc>
        <w:tc>
          <w:tcPr>
            <w:tcW w:w="760" w:type="dxa"/>
            <w:shd w:val="clear" w:color="auto" w:fill="auto"/>
          </w:tcPr>
          <w:p w14:paraId="5F605124" w14:textId="77777777" w:rsidR="00984ED1" w:rsidRPr="00984ED1" w:rsidRDefault="00984ED1" w:rsidP="000606E3">
            <w:pPr>
              <w:autoSpaceDE w:val="0"/>
              <w:autoSpaceDN w:val="0"/>
              <w:adjustRightInd w:val="0"/>
              <w:spacing w:line="240" w:lineRule="exact"/>
              <w:ind w:right="49"/>
              <w:jc w:val="center"/>
              <w:rPr>
                <w:sz w:val="22"/>
                <w:szCs w:val="22"/>
              </w:rPr>
            </w:pPr>
          </w:p>
        </w:tc>
      </w:tr>
    </w:tbl>
    <w:p w14:paraId="153FF339" w14:textId="77777777" w:rsidR="00984ED1" w:rsidRPr="007F118A" w:rsidRDefault="00C802F7" w:rsidP="00A1659D">
      <w:pPr>
        <w:ind w:firstLine="426"/>
        <w:jc w:val="both"/>
        <w:rPr>
          <w:i/>
          <w:sz w:val="22"/>
          <w:szCs w:val="22"/>
        </w:rPr>
      </w:pPr>
      <w:proofErr w:type="gramStart"/>
      <w:r w:rsidRPr="007F118A">
        <w:rPr>
          <w:i/>
          <w:sz w:val="22"/>
          <w:szCs w:val="22"/>
        </w:rPr>
        <w:t>p</w:t>
      </w:r>
      <w:proofErr w:type="gramEnd"/>
      <w:r w:rsidRPr="007F118A">
        <w:rPr>
          <w:i/>
          <w:sz w:val="22"/>
          <w:szCs w:val="22"/>
        </w:rPr>
        <w:t>: so sánh nhóm sự thay đổi tỷ lệ giữa các nhóm, sử dụng kiểm định Chi-square test</w:t>
      </w:r>
    </w:p>
    <w:p w14:paraId="51629FC8" w14:textId="77777777" w:rsidR="00984ED1" w:rsidRPr="007F118A" w:rsidRDefault="00984ED1" w:rsidP="00A1659D">
      <w:pPr>
        <w:spacing w:line="280" w:lineRule="exact"/>
        <w:ind w:firstLine="426"/>
        <w:jc w:val="both"/>
        <w:rPr>
          <w:sz w:val="22"/>
          <w:szCs w:val="22"/>
        </w:rPr>
      </w:pPr>
      <w:r w:rsidRPr="007F118A">
        <w:rPr>
          <w:sz w:val="22"/>
          <w:szCs w:val="22"/>
        </w:rPr>
        <w:t>Sau can thiệp tỷ lệ thiếu kẽm ở nhóm chứng là: 65</w:t>
      </w:r>
      <w:proofErr w:type="gramStart"/>
      <w:r w:rsidRPr="007F118A">
        <w:rPr>
          <w:sz w:val="22"/>
          <w:szCs w:val="22"/>
        </w:rPr>
        <w:t>,70</w:t>
      </w:r>
      <w:proofErr w:type="gramEnd"/>
      <w:r w:rsidRPr="007F118A">
        <w:rPr>
          <w:sz w:val="22"/>
          <w:szCs w:val="22"/>
        </w:rPr>
        <w:t>%, nhóm bổ sung kẽm là: 40,90%; nhóm bổ sung sắt - kẽm là 47,4%. Hiệu quả giảm nguy cơ tuyệt đối với thiếu kẽm giữa nhóm chứng và nhóm bổ sung kẽm là 24</w:t>
      </w:r>
      <w:proofErr w:type="gramStart"/>
      <w:r w:rsidRPr="007F118A">
        <w:rPr>
          <w:sz w:val="22"/>
          <w:szCs w:val="22"/>
        </w:rPr>
        <w:t>,8</w:t>
      </w:r>
      <w:proofErr w:type="gramEnd"/>
      <w:r w:rsidRPr="007F118A">
        <w:rPr>
          <w:sz w:val="22"/>
          <w:szCs w:val="22"/>
        </w:rPr>
        <w:t xml:space="preserve"> %. Cứ 4 trẻ sử dụng bánh bổ sung kẽm trong 6 tháng thì có một trẻ không thiếu kẽm (NNT = 4</w:t>
      </w:r>
      <w:proofErr w:type="gramStart"/>
      <w:r w:rsidRPr="007F118A">
        <w:rPr>
          <w:sz w:val="22"/>
          <w:szCs w:val="22"/>
        </w:rPr>
        <w:t>,03</w:t>
      </w:r>
      <w:proofErr w:type="gramEnd"/>
      <w:r w:rsidRPr="007F118A">
        <w:rPr>
          <w:sz w:val="22"/>
          <w:szCs w:val="22"/>
        </w:rPr>
        <w:t xml:space="preserve">). </w:t>
      </w:r>
    </w:p>
    <w:p w14:paraId="4F989FD6" w14:textId="77777777" w:rsidR="00E56E95" w:rsidRPr="007F118A" w:rsidRDefault="00984ED1" w:rsidP="00A1659D">
      <w:pPr>
        <w:spacing w:line="280" w:lineRule="exact"/>
        <w:ind w:firstLine="426"/>
        <w:jc w:val="both"/>
        <w:rPr>
          <w:sz w:val="22"/>
          <w:szCs w:val="22"/>
        </w:rPr>
      </w:pPr>
      <w:r w:rsidRPr="007F118A">
        <w:rPr>
          <w:sz w:val="22"/>
          <w:szCs w:val="22"/>
        </w:rPr>
        <w:t>Hiệu quả giảm nguy cơ tuyệt đối với thiếu kẽm giữa nhóm chứng và nhóm bổ sung sắt - kẽm là 18</w:t>
      </w:r>
      <w:proofErr w:type="gramStart"/>
      <w:r w:rsidRPr="007F118A">
        <w:rPr>
          <w:sz w:val="22"/>
          <w:szCs w:val="22"/>
        </w:rPr>
        <w:t>,3</w:t>
      </w:r>
      <w:proofErr w:type="gramEnd"/>
      <w:r w:rsidRPr="007F118A">
        <w:rPr>
          <w:sz w:val="22"/>
          <w:szCs w:val="22"/>
        </w:rPr>
        <w:t xml:space="preserve">%. Can thiệp bổ sung sắt - kẽm cho 5 trẻ em thiếu kẽm để giảm một trẻ thiếu </w:t>
      </w:r>
      <w:proofErr w:type="gramStart"/>
      <w:r w:rsidRPr="007F118A">
        <w:rPr>
          <w:sz w:val="22"/>
          <w:szCs w:val="22"/>
        </w:rPr>
        <w:t>kẽm  (</w:t>
      </w:r>
      <w:proofErr w:type="gramEnd"/>
      <w:r w:rsidRPr="007F118A">
        <w:rPr>
          <w:sz w:val="22"/>
          <w:szCs w:val="22"/>
        </w:rPr>
        <w:t>NTT = 5,46), sự khác biệt có ý nghĩa thống kê (p &lt; 0,05).</w:t>
      </w:r>
    </w:p>
    <w:p w14:paraId="2D38A8F7" w14:textId="77777777" w:rsidR="006832BF" w:rsidRPr="00C35DE0" w:rsidRDefault="006832BF" w:rsidP="00A1659D">
      <w:pPr>
        <w:spacing w:before="240" w:after="60"/>
        <w:ind w:firstLine="426"/>
        <w:jc w:val="both"/>
        <w:rPr>
          <w:b/>
          <w:sz w:val="22"/>
          <w:szCs w:val="22"/>
        </w:rPr>
      </w:pPr>
      <w:r w:rsidRPr="00C35DE0">
        <w:rPr>
          <w:b/>
          <w:sz w:val="22"/>
          <w:szCs w:val="22"/>
        </w:rPr>
        <w:t>CHƯƠNG 4. BÀN LUẬN</w:t>
      </w:r>
    </w:p>
    <w:p w14:paraId="71B6C57F" w14:textId="77777777" w:rsidR="0076158A" w:rsidRPr="00C35DE0" w:rsidRDefault="0076158A" w:rsidP="00A1659D">
      <w:pPr>
        <w:tabs>
          <w:tab w:val="left" w:pos="426"/>
          <w:tab w:val="left" w:pos="851"/>
        </w:tabs>
        <w:spacing w:line="280" w:lineRule="exact"/>
        <w:ind w:firstLine="426"/>
        <w:jc w:val="both"/>
        <w:rPr>
          <w:b/>
          <w:bCs/>
          <w:iCs/>
          <w:sz w:val="22"/>
          <w:szCs w:val="22"/>
        </w:rPr>
      </w:pPr>
      <w:r w:rsidRPr="00C35DE0">
        <w:rPr>
          <w:b/>
          <w:bCs/>
          <w:iCs/>
          <w:sz w:val="22"/>
          <w:szCs w:val="22"/>
        </w:rPr>
        <w:t>4.1. Tình trạng nhẹ cân, gầy còm, thiếu máu, thiếu sắt, thiếu kẽm ở trẻ suy dinh dưỡng thấp còi 1-3 tuổi</w:t>
      </w:r>
    </w:p>
    <w:p w14:paraId="0BC39B11" w14:textId="77777777" w:rsidR="0076158A" w:rsidRPr="00C35DE0" w:rsidRDefault="0076158A" w:rsidP="00A1659D">
      <w:pPr>
        <w:tabs>
          <w:tab w:val="left" w:pos="426"/>
          <w:tab w:val="left" w:pos="851"/>
        </w:tabs>
        <w:spacing w:line="280" w:lineRule="exact"/>
        <w:ind w:firstLine="426"/>
        <w:jc w:val="both"/>
        <w:rPr>
          <w:b/>
          <w:bCs/>
          <w:iCs/>
          <w:sz w:val="22"/>
          <w:szCs w:val="22"/>
          <w:lang w:val="it-IT"/>
        </w:rPr>
      </w:pPr>
      <w:bookmarkStart w:id="45" w:name="_Toc118656376"/>
      <w:bookmarkStart w:id="46" w:name="_Toc132883779"/>
      <w:bookmarkStart w:id="47" w:name="_Toc132883945"/>
      <w:bookmarkStart w:id="48" w:name="_Toc132884319"/>
      <w:bookmarkStart w:id="49" w:name="_Toc132884401"/>
      <w:bookmarkStart w:id="50" w:name="_Toc132884565"/>
      <w:bookmarkStart w:id="51" w:name="_Toc132969780"/>
      <w:r w:rsidRPr="00C35DE0">
        <w:rPr>
          <w:b/>
          <w:bCs/>
          <w:iCs/>
          <w:sz w:val="22"/>
          <w:szCs w:val="22"/>
          <w:lang w:val="it-IT"/>
        </w:rPr>
        <w:t>4.1.2. Tình trạng SDD thể nhẹ cân và gầy còm của đối tượng nghiên cứu</w:t>
      </w:r>
      <w:bookmarkEnd w:id="45"/>
      <w:bookmarkEnd w:id="46"/>
      <w:bookmarkEnd w:id="47"/>
      <w:bookmarkEnd w:id="48"/>
      <w:bookmarkEnd w:id="49"/>
      <w:bookmarkEnd w:id="50"/>
      <w:bookmarkEnd w:id="51"/>
    </w:p>
    <w:p w14:paraId="6A208D73" w14:textId="77777777" w:rsidR="00C35DE0" w:rsidRPr="009065C4" w:rsidRDefault="00C35DE0" w:rsidP="00A1659D">
      <w:pPr>
        <w:tabs>
          <w:tab w:val="left" w:pos="426"/>
          <w:tab w:val="left" w:pos="851"/>
        </w:tabs>
        <w:spacing w:line="280" w:lineRule="exact"/>
        <w:ind w:firstLine="426"/>
        <w:jc w:val="both"/>
        <w:rPr>
          <w:b/>
          <w:bCs/>
          <w:i/>
          <w:iCs/>
          <w:sz w:val="22"/>
          <w:szCs w:val="22"/>
          <w:lang w:val="it-IT"/>
        </w:rPr>
      </w:pPr>
      <w:r w:rsidRPr="009065C4">
        <w:rPr>
          <w:b/>
          <w:bCs/>
          <w:i/>
          <w:iCs/>
          <w:sz w:val="22"/>
          <w:szCs w:val="22"/>
          <w:lang w:val="it-IT"/>
        </w:rPr>
        <w:t>Tình trạng SDD thể nhẹ cân của đối tượng nghiên cứu</w:t>
      </w:r>
    </w:p>
    <w:p w14:paraId="7DDF7068" w14:textId="77777777" w:rsidR="00C35DE0" w:rsidRPr="00C35DE0" w:rsidRDefault="00C35DE0" w:rsidP="00A1659D">
      <w:pPr>
        <w:tabs>
          <w:tab w:val="left" w:pos="426"/>
          <w:tab w:val="left" w:pos="851"/>
        </w:tabs>
        <w:spacing w:line="280" w:lineRule="exact"/>
        <w:ind w:firstLine="426"/>
        <w:jc w:val="both"/>
        <w:rPr>
          <w:bCs/>
          <w:iCs/>
          <w:sz w:val="22"/>
          <w:szCs w:val="22"/>
          <w:lang w:val="it-IT"/>
        </w:rPr>
      </w:pPr>
      <w:r w:rsidRPr="00C35DE0">
        <w:rPr>
          <w:bCs/>
          <w:iCs/>
          <w:sz w:val="22"/>
          <w:szCs w:val="22"/>
          <w:lang w:val="it-IT"/>
        </w:rPr>
        <w:t xml:space="preserve">Xem xét về tỷ lệ SDD thể nhẹ cân của đối tượng nghiên cứu theo giới và tuổi cho thấy,  nhóm tuổi 3 tuổi tỷ lệ Suy dinh dưỡng cao nhất, </w:t>
      </w:r>
      <w:r w:rsidRPr="00C35DE0">
        <w:rPr>
          <w:bCs/>
          <w:iCs/>
          <w:sz w:val="22"/>
          <w:szCs w:val="22"/>
          <w:lang w:val="it-IT"/>
        </w:rPr>
        <w:lastRenderedPageBreak/>
        <w:t xml:space="preserve">nhóm tuổi 2 tuổi có tỷ lệ thấp nhất. Xét về tỷ lệ Suy dinh dưỡng thể nhẹ cân theo giới và tuổi thì ở 1 tuổi tỷ lệ SDD ở trẻ gái cao hơn ở trẻ trai nhưng ở 2 tuổi và 3 tuổi thì ngược lại ở trẻ em trai cao hơn ở trẻ em gái. </w:t>
      </w:r>
    </w:p>
    <w:p w14:paraId="7FE83ABE" w14:textId="77777777" w:rsidR="00C35DE0" w:rsidRPr="00C35DE0" w:rsidRDefault="00C35DE0" w:rsidP="00A1659D">
      <w:pPr>
        <w:tabs>
          <w:tab w:val="left" w:pos="426"/>
          <w:tab w:val="left" w:pos="851"/>
        </w:tabs>
        <w:spacing w:line="280" w:lineRule="exact"/>
        <w:ind w:firstLine="426"/>
        <w:jc w:val="both"/>
        <w:rPr>
          <w:bCs/>
          <w:iCs/>
          <w:sz w:val="22"/>
          <w:szCs w:val="22"/>
          <w:lang w:val="it-IT"/>
        </w:rPr>
      </w:pPr>
      <w:r w:rsidRPr="00C35DE0">
        <w:rPr>
          <w:bCs/>
          <w:iCs/>
          <w:sz w:val="22"/>
          <w:szCs w:val="22"/>
          <w:lang w:val="it-IT"/>
        </w:rPr>
        <w:t>Tỷ lệ SDD nhẹ cân ở trẻ trong nghiên cứu của chúng tôi cao hơn nhiều so với trẻ dưới 5 tuổi trên toàn quốc năm 2020 (12,8%). Nhẹ cân là hệ quả của SDD thấp còi và SDD gầy còm. Tỷ lệ SDD thể nhẹ cân được điều tra trên toàn quốc năm 2020 là những trẻ có TTDD thấp còi và không thấp còi. Đối tượng nghiên cứu của chúng tôi là trẻ SDD thấp còi, điều đó giải thích tỷ lệ SDD trẻ 1 - 3 tuổi thể nhẹ cân rất cao tại địa bàn nghiên cứu.</w:t>
      </w:r>
    </w:p>
    <w:p w14:paraId="0B2279B2" w14:textId="77777777" w:rsidR="00C35DE0" w:rsidRPr="009065C4" w:rsidRDefault="00C35DE0" w:rsidP="00A1659D">
      <w:pPr>
        <w:tabs>
          <w:tab w:val="left" w:pos="426"/>
          <w:tab w:val="left" w:pos="851"/>
        </w:tabs>
        <w:spacing w:line="280" w:lineRule="exact"/>
        <w:ind w:firstLine="426"/>
        <w:jc w:val="both"/>
        <w:rPr>
          <w:b/>
          <w:bCs/>
          <w:i/>
          <w:iCs/>
          <w:sz w:val="22"/>
          <w:szCs w:val="22"/>
          <w:lang w:val="it-IT"/>
        </w:rPr>
      </w:pPr>
      <w:r w:rsidRPr="009065C4">
        <w:rPr>
          <w:b/>
          <w:bCs/>
          <w:i/>
          <w:iCs/>
          <w:sz w:val="22"/>
          <w:szCs w:val="22"/>
          <w:lang w:val="it-IT"/>
        </w:rPr>
        <w:t>Tình trạng SDD thể gầy còm của đối tượng nghiên cứu</w:t>
      </w:r>
    </w:p>
    <w:p w14:paraId="44A36014" w14:textId="77777777" w:rsidR="00C35DE0" w:rsidRPr="00C35DE0" w:rsidRDefault="00C35DE0" w:rsidP="00A1659D">
      <w:pPr>
        <w:tabs>
          <w:tab w:val="left" w:pos="426"/>
          <w:tab w:val="left" w:pos="851"/>
        </w:tabs>
        <w:spacing w:line="280" w:lineRule="exact"/>
        <w:ind w:firstLine="426"/>
        <w:jc w:val="both"/>
        <w:rPr>
          <w:bCs/>
          <w:iCs/>
          <w:sz w:val="22"/>
          <w:szCs w:val="22"/>
          <w:lang w:val="it-IT"/>
        </w:rPr>
      </w:pPr>
      <w:r w:rsidRPr="00C35DE0">
        <w:rPr>
          <w:bCs/>
          <w:iCs/>
          <w:sz w:val="22"/>
          <w:szCs w:val="22"/>
          <w:lang w:val="it-IT"/>
        </w:rPr>
        <w:t xml:space="preserve">Suy dinh dưỡng thể gầy còm chung của đối tượng nghiên cứu chiếm tỷ lệ 8,5%; tỷ lệ này cao nhất ở địa bàn Vĩnh Phúc và thấp nhất ở địa bàn Phú thọ. Xét theo giới, tỷ lệ suy dinh dưỡng thể gầy còm ở trẻ trai cao hơn so với trẻ em gái. Tương tự, xem xét ở các độ tuổi từ 1 đến 3 theo giới và tuổi tỷ lệ suy dinh dưỡng thể gầy còm ở trẻ em trai cao hơn so với trẻ em gái. Mức SDD này cao hơn so với tỷ lệ SDD gầy còm trong một nghiên cứu tại Phú Thọ: 7,4%, cũng như số liệu điều tra toàn quốc (6,5%). </w:t>
      </w:r>
    </w:p>
    <w:p w14:paraId="4AA9C4DE" w14:textId="77777777" w:rsidR="0076158A" w:rsidRPr="00C35DE0" w:rsidRDefault="00C35DE0" w:rsidP="00A1659D">
      <w:pPr>
        <w:tabs>
          <w:tab w:val="left" w:pos="426"/>
          <w:tab w:val="left" w:pos="851"/>
        </w:tabs>
        <w:spacing w:line="280" w:lineRule="exact"/>
        <w:ind w:firstLine="426"/>
        <w:jc w:val="both"/>
        <w:rPr>
          <w:bCs/>
          <w:iCs/>
          <w:sz w:val="22"/>
          <w:szCs w:val="22"/>
          <w:lang w:val="it-IT"/>
        </w:rPr>
      </w:pPr>
      <w:r w:rsidRPr="00C35DE0">
        <w:rPr>
          <w:bCs/>
          <w:iCs/>
          <w:sz w:val="22"/>
          <w:szCs w:val="22"/>
          <w:lang w:val="it-IT"/>
        </w:rPr>
        <w:t>Tỷ lệ SDD gầy còm ở các lứa tuổi trong nghiên cứu này ở trẻ trai 12 - 23 tháng tuổi lên tới 15,3%, trẻ trai 36 - 47 tháng tuổi là 10,2%, và trẻ gái 12 - 23 tháng tuổi là 10,6%. Đây là đối tượng có nguy cơ cao mắc bệnh cấp tính như nhiễm khuẩn hô hấp, tiêu chảy, đây là một trong những nguyên nhân góp phần làm gia tăng tỷ lệ SDD thể nhẹ cân. Trẻ mắc bệnh cấp tính nhiều lần dẫn tới ăn uống kém, nếu không dự phòng và điều trị kịp thời về lâu dài dẫn tới SDD thấp còi. Nếu không được chăm sóc dinh dưỡng trong 2 năm đầu đời, những trẻ SDD thấp còi này lại có nguy cơ cao mắc bệnh mạn tính không lây ở tuổi trưởng thành như đái tháo đường, tăng huyết áp, béo phì...</w:t>
      </w:r>
    </w:p>
    <w:p w14:paraId="6DF25E2C" w14:textId="77777777" w:rsidR="00C35DE0" w:rsidRPr="00C35DE0" w:rsidRDefault="00C35DE0" w:rsidP="00A1659D">
      <w:pPr>
        <w:tabs>
          <w:tab w:val="left" w:pos="426"/>
          <w:tab w:val="left" w:pos="851"/>
        </w:tabs>
        <w:spacing w:line="280" w:lineRule="exact"/>
        <w:ind w:firstLine="426"/>
        <w:jc w:val="both"/>
        <w:rPr>
          <w:b/>
          <w:bCs/>
          <w:iCs/>
          <w:sz w:val="22"/>
          <w:szCs w:val="22"/>
          <w:lang w:val="it-IT"/>
        </w:rPr>
      </w:pPr>
      <w:bookmarkStart w:id="52" w:name="_Toc132969781"/>
      <w:r w:rsidRPr="00C35DE0">
        <w:rPr>
          <w:b/>
          <w:bCs/>
          <w:iCs/>
          <w:sz w:val="22"/>
          <w:szCs w:val="22"/>
          <w:lang w:val="it-IT"/>
        </w:rPr>
        <w:t>4.1.3. Tình trạng thiếu máu, thiếu sắt, thiếu kẽm của đối tượng nghiên cứu</w:t>
      </w:r>
      <w:bookmarkEnd w:id="52"/>
    </w:p>
    <w:p w14:paraId="0613C2E9" w14:textId="77777777" w:rsidR="00545DE5" w:rsidRPr="00545DE5" w:rsidRDefault="00545DE5" w:rsidP="00A1659D">
      <w:pPr>
        <w:tabs>
          <w:tab w:val="left" w:pos="426"/>
          <w:tab w:val="left" w:pos="851"/>
        </w:tabs>
        <w:spacing w:line="280" w:lineRule="exact"/>
        <w:ind w:firstLine="426"/>
        <w:jc w:val="both"/>
        <w:rPr>
          <w:b/>
          <w:bCs/>
          <w:i/>
          <w:iCs/>
          <w:sz w:val="22"/>
          <w:szCs w:val="22"/>
          <w:lang w:val="it-IT"/>
        </w:rPr>
      </w:pPr>
      <w:r w:rsidRPr="00545DE5">
        <w:rPr>
          <w:b/>
          <w:bCs/>
          <w:i/>
          <w:iCs/>
          <w:sz w:val="22"/>
          <w:szCs w:val="22"/>
          <w:lang w:val="it-IT"/>
        </w:rPr>
        <w:t>Tình trạng thiếu sắt</w:t>
      </w:r>
      <w:r w:rsidR="00042B04">
        <w:rPr>
          <w:b/>
          <w:bCs/>
          <w:i/>
          <w:iCs/>
          <w:sz w:val="22"/>
          <w:szCs w:val="22"/>
          <w:lang w:val="it-IT"/>
        </w:rPr>
        <w:t>, thiếu máu</w:t>
      </w:r>
      <w:r w:rsidRPr="00545DE5">
        <w:rPr>
          <w:b/>
          <w:bCs/>
          <w:i/>
          <w:iCs/>
          <w:sz w:val="22"/>
          <w:szCs w:val="22"/>
          <w:lang w:val="it-IT"/>
        </w:rPr>
        <w:t xml:space="preserve"> của đối tượng nghiên cứu:</w:t>
      </w:r>
    </w:p>
    <w:p w14:paraId="3F29211D" w14:textId="77777777" w:rsidR="00545DE5" w:rsidRPr="00820A4E" w:rsidRDefault="00545DE5" w:rsidP="00A1659D">
      <w:pPr>
        <w:tabs>
          <w:tab w:val="left" w:pos="426"/>
          <w:tab w:val="left" w:pos="851"/>
        </w:tabs>
        <w:spacing w:line="280" w:lineRule="exact"/>
        <w:ind w:firstLine="426"/>
        <w:jc w:val="both"/>
        <w:rPr>
          <w:bCs/>
          <w:iCs/>
          <w:sz w:val="22"/>
          <w:szCs w:val="22"/>
          <w:lang w:val="it-IT"/>
        </w:rPr>
      </w:pPr>
      <w:r w:rsidRPr="00042B04">
        <w:rPr>
          <w:bCs/>
          <w:iCs/>
          <w:sz w:val="22"/>
          <w:szCs w:val="22"/>
          <w:lang w:val="it-IT"/>
        </w:rPr>
        <w:lastRenderedPageBreak/>
        <w:t xml:space="preserve">Xem xét tình trạng thiếu sắt của đối tượng nghiên cứu theo giới và tuổi: Nhìn chung ở trẻ em trai tỷ lệ thiếu sắt cao hơn ở trẻ em gái và tỷ lệ này ở 2 giới đều giảm theo tuổi, tuổi càng lớn thì tỷ lệ thiếu sắt càng giảm. </w:t>
      </w:r>
      <w:r w:rsidRPr="00820A4E">
        <w:rPr>
          <w:bCs/>
          <w:iCs/>
          <w:sz w:val="22"/>
          <w:szCs w:val="22"/>
          <w:lang w:val="it-IT"/>
        </w:rPr>
        <w:t xml:space="preserve">Tính riêng từng nhóm tuổi ở nhóm 1 tuổi và 2 tuổi, tỷ lệ thiếu sắt ở trẻ em trai cao hơn trẻ em gái, nhưng ở lứa tuổi 3 tuổi, tỷ lệ thiếu sắt ở 2 giới tương tự nhau. </w:t>
      </w:r>
    </w:p>
    <w:p w14:paraId="27E81F6B" w14:textId="77777777" w:rsidR="00545DE5" w:rsidRPr="009141CC" w:rsidRDefault="00545DE5" w:rsidP="00A1659D">
      <w:pPr>
        <w:tabs>
          <w:tab w:val="left" w:pos="426"/>
          <w:tab w:val="left" w:pos="851"/>
        </w:tabs>
        <w:spacing w:line="280" w:lineRule="exact"/>
        <w:ind w:firstLine="426"/>
        <w:jc w:val="both"/>
        <w:rPr>
          <w:bCs/>
          <w:iCs/>
          <w:sz w:val="22"/>
          <w:szCs w:val="22"/>
          <w:lang w:val="it-IT"/>
        </w:rPr>
      </w:pPr>
      <w:r w:rsidRPr="009141CC">
        <w:rPr>
          <w:bCs/>
          <w:iCs/>
          <w:sz w:val="22"/>
          <w:szCs w:val="22"/>
          <w:lang w:val="it-IT"/>
        </w:rPr>
        <w:t>Tỷ lệ thiếu máu ở trẻ SDD, nguy cơ SDD thấp còi thường cao hơn so với trẻ không SDD. Tỷ lệ thiếu máu trong nghiên cứu tại Phú Thọ, tại Hà Nam, với đối tượng ở vùng nghèo, hoặc trên trẻ SDD thấp còi, cao hơn so với tỷ lệ thiếu máu trên phạm vị toàn quốc.  Có một vài yếu tố dẫn tới thiếu máu, và có gần một nửa các trường hợp thiếu máu ở trẻ em là do thiếu sắt. Để phòng chống thiếu máu, cần phòng chống SDD, cần cải thiện TTDD. Ngược lại, việc phòng chống SDD tốt góp phần cải thiện tình trạng thiếu máu. Trẻ có TTDD tốt thường ăn ngon hơn, hấp thu dinh dưỡng tốt hơn, ít bệnh hơn do đó giảm nguy cơ thiếu máu.</w:t>
      </w:r>
    </w:p>
    <w:p w14:paraId="0F0A0319" w14:textId="77777777" w:rsidR="00545DE5" w:rsidRPr="009141CC" w:rsidRDefault="00545DE5" w:rsidP="00A1659D">
      <w:pPr>
        <w:tabs>
          <w:tab w:val="left" w:pos="426"/>
          <w:tab w:val="left" w:pos="851"/>
        </w:tabs>
        <w:spacing w:line="280" w:lineRule="exact"/>
        <w:ind w:firstLine="426"/>
        <w:jc w:val="both"/>
        <w:rPr>
          <w:b/>
          <w:bCs/>
          <w:i/>
          <w:iCs/>
          <w:sz w:val="22"/>
          <w:szCs w:val="22"/>
          <w:lang w:val="it-IT"/>
        </w:rPr>
      </w:pPr>
      <w:r w:rsidRPr="009141CC">
        <w:rPr>
          <w:b/>
          <w:bCs/>
          <w:i/>
          <w:iCs/>
          <w:sz w:val="22"/>
          <w:szCs w:val="22"/>
          <w:lang w:val="it-IT"/>
        </w:rPr>
        <w:t xml:space="preserve">Tình trạng thiếu kẽm của đối tượng nghiên cứu </w:t>
      </w:r>
    </w:p>
    <w:p w14:paraId="0E25848A" w14:textId="77777777" w:rsidR="00545DE5" w:rsidRPr="00B56CC9" w:rsidRDefault="00267EB9" w:rsidP="00A1659D">
      <w:pPr>
        <w:tabs>
          <w:tab w:val="left" w:pos="426"/>
          <w:tab w:val="left" w:pos="851"/>
        </w:tabs>
        <w:spacing w:line="280" w:lineRule="exact"/>
        <w:ind w:firstLine="426"/>
        <w:jc w:val="both"/>
        <w:rPr>
          <w:bCs/>
          <w:iCs/>
          <w:sz w:val="22"/>
          <w:szCs w:val="22"/>
          <w:lang w:val="it-IT"/>
        </w:rPr>
      </w:pPr>
      <w:r w:rsidRPr="00B56CC9">
        <w:rPr>
          <w:bCs/>
          <w:iCs/>
          <w:sz w:val="22"/>
          <w:szCs w:val="22"/>
          <w:lang w:val="it-IT"/>
        </w:rPr>
        <w:t>Tỷ lệ thiếu kẽm của đối tượng nghiên cứu khá cao, trước khi can thiệp, có khoảng hai phần ba bị thiếu kẽm. Trong cơ thể, kẽm là chất khoáng có vai trò quan trọng trong tăng trưởng và biệt hoá tế bào, chuyển hoá protein và lipid, hệ thống miễn dịch. Kẽm cần thiết cho các hoạt động trao đổi chất, gồm dị hoá và tổng hợp, phân huỷ các chất dinh dưỡng, chức năng điều hoà. Thiếu kẽm ở trẻ em làm trẻ chậm tăng trưởng, ăn không ngon miệng. Người ta thấy rằng, ở trẻ 3-5 tuổi, khẩu phần kẽm chỉ đạt 75,7% so với nhu cầu khuyến nghị và hàm lượng kẽm huyết thanh có mối liên quan thuận chiều với cân nặng và chiều cao. Đối tượng nghiên cứu của chúng tôi là trẻ SDD thấp còi, điều đó giải thích tỷ lệ thiếu kẽm của trẻ cao.</w:t>
      </w:r>
    </w:p>
    <w:p w14:paraId="505A6D49" w14:textId="77777777" w:rsidR="00042B04" w:rsidRPr="00042B04" w:rsidRDefault="00042B04" w:rsidP="00A1659D">
      <w:pPr>
        <w:tabs>
          <w:tab w:val="left" w:pos="426"/>
          <w:tab w:val="left" w:pos="851"/>
        </w:tabs>
        <w:spacing w:line="280" w:lineRule="exact"/>
        <w:ind w:firstLine="426"/>
        <w:jc w:val="both"/>
        <w:rPr>
          <w:b/>
          <w:bCs/>
          <w:iCs/>
          <w:sz w:val="22"/>
          <w:szCs w:val="22"/>
          <w:lang w:val="vi-VN"/>
        </w:rPr>
      </w:pPr>
      <w:bookmarkStart w:id="53" w:name="_Toc107765680"/>
      <w:bookmarkStart w:id="54" w:name="_Toc118656379"/>
      <w:bookmarkStart w:id="55" w:name="_Toc132883780"/>
      <w:bookmarkStart w:id="56" w:name="_Toc132883946"/>
      <w:bookmarkStart w:id="57" w:name="_Toc132884320"/>
      <w:bookmarkStart w:id="58" w:name="_Toc132884402"/>
      <w:bookmarkStart w:id="59" w:name="_Toc132884566"/>
      <w:bookmarkStart w:id="60" w:name="_Toc132969782"/>
      <w:r w:rsidRPr="00042B04">
        <w:rPr>
          <w:b/>
          <w:bCs/>
          <w:iCs/>
          <w:sz w:val="22"/>
          <w:szCs w:val="22"/>
          <w:lang w:val="vi-VN"/>
        </w:rPr>
        <w:t>4.2. Kết quả của sử dụng sắt - kẽm phối hợp với sử dụng kẽm riêng rẽ lên tình trạng thấp còi, nhẹ cân, gầy còm, thiếu máu, thiếu sắt và thiếu kẽm ở trẻ 1-3 tuổi suy dinh dưỡng thể thấp còi sau 6 tháng can thiệp.</w:t>
      </w:r>
      <w:bookmarkEnd w:id="53"/>
      <w:bookmarkEnd w:id="54"/>
      <w:bookmarkEnd w:id="55"/>
      <w:bookmarkEnd w:id="56"/>
      <w:bookmarkEnd w:id="57"/>
      <w:bookmarkEnd w:id="58"/>
      <w:bookmarkEnd w:id="59"/>
      <w:bookmarkEnd w:id="60"/>
    </w:p>
    <w:p w14:paraId="381F6A7A" w14:textId="77777777" w:rsidR="00042B04" w:rsidRPr="00042B04" w:rsidRDefault="00042B04" w:rsidP="00A1659D">
      <w:pPr>
        <w:tabs>
          <w:tab w:val="left" w:pos="426"/>
          <w:tab w:val="left" w:pos="851"/>
        </w:tabs>
        <w:spacing w:line="280" w:lineRule="exact"/>
        <w:ind w:firstLine="426"/>
        <w:jc w:val="both"/>
        <w:rPr>
          <w:b/>
          <w:bCs/>
          <w:iCs/>
          <w:sz w:val="22"/>
          <w:szCs w:val="22"/>
          <w:lang w:val="vi-VN"/>
        </w:rPr>
      </w:pPr>
      <w:bookmarkStart w:id="61" w:name="_Toc107765681"/>
      <w:bookmarkStart w:id="62" w:name="_Toc118577328"/>
      <w:bookmarkStart w:id="63" w:name="_Toc118656380"/>
      <w:bookmarkStart w:id="64" w:name="_Toc132883781"/>
      <w:bookmarkStart w:id="65" w:name="_Toc132883947"/>
      <w:bookmarkStart w:id="66" w:name="_Toc132884321"/>
      <w:bookmarkStart w:id="67" w:name="_Toc132884403"/>
      <w:bookmarkStart w:id="68" w:name="_Toc132884567"/>
      <w:bookmarkStart w:id="69" w:name="_Toc132969783"/>
      <w:r w:rsidRPr="00042B04">
        <w:rPr>
          <w:b/>
          <w:bCs/>
          <w:iCs/>
          <w:sz w:val="22"/>
          <w:szCs w:val="22"/>
          <w:lang w:val="vi-VN"/>
        </w:rPr>
        <w:t>4.2.1.  Đặc điểm đối tượng nghiên cứu</w:t>
      </w:r>
      <w:bookmarkEnd w:id="61"/>
      <w:bookmarkEnd w:id="62"/>
      <w:bookmarkEnd w:id="63"/>
      <w:bookmarkEnd w:id="64"/>
      <w:bookmarkEnd w:id="65"/>
      <w:bookmarkEnd w:id="66"/>
      <w:bookmarkEnd w:id="67"/>
      <w:bookmarkEnd w:id="68"/>
      <w:bookmarkEnd w:id="69"/>
      <w:r w:rsidRPr="00042B04">
        <w:rPr>
          <w:b/>
          <w:bCs/>
          <w:iCs/>
          <w:sz w:val="22"/>
          <w:szCs w:val="22"/>
          <w:lang w:val="vi-VN"/>
        </w:rPr>
        <w:t xml:space="preserve"> </w:t>
      </w:r>
    </w:p>
    <w:p w14:paraId="2844A5CF" w14:textId="77777777" w:rsidR="00042B04" w:rsidRPr="00042B04" w:rsidRDefault="00042B04" w:rsidP="00A1659D">
      <w:pPr>
        <w:tabs>
          <w:tab w:val="left" w:pos="426"/>
          <w:tab w:val="left" w:pos="851"/>
        </w:tabs>
        <w:spacing w:line="280" w:lineRule="exact"/>
        <w:ind w:firstLine="426"/>
        <w:jc w:val="both"/>
        <w:rPr>
          <w:b/>
          <w:bCs/>
          <w:i/>
          <w:iCs/>
          <w:sz w:val="22"/>
          <w:szCs w:val="22"/>
          <w:lang w:val="vi-VN"/>
        </w:rPr>
      </w:pPr>
      <w:bookmarkStart w:id="70" w:name="_Toc107765682"/>
      <w:bookmarkStart w:id="71" w:name="_Toc118577329"/>
      <w:bookmarkStart w:id="72" w:name="_Toc118656381"/>
      <w:r w:rsidRPr="00042B04">
        <w:rPr>
          <w:b/>
          <w:bCs/>
          <w:i/>
          <w:iCs/>
          <w:sz w:val="22"/>
          <w:szCs w:val="22"/>
          <w:lang w:val="vi-VN"/>
        </w:rPr>
        <w:lastRenderedPageBreak/>
        <w:t>Đặc điểm nhân trắc đối tượng ở các nhóm nghiên cứu:</w:t>
      </w:r>
      <w:bookmarkEnd w:id="70"/>
      <w:bookmarkEnd w:id="71"/>
      <w:bookmarkEnd w:id="72"/>
    </w:p>
    <w:p w14:paraId="6C99C7B8" w14:textId="77777777" w:rsidR="0076158A" w:rsidRDefault="000E297F" w:rsidP="00A1659D">
      <w:pPr>
        <w:tabs>
          <w:tab w:val="left" w:pos="426"/>
          <w:tab w:val="left" w:pos="851"/>
        </w:tabs>
        <w:spacing w:line="280" w:lineRule="exact"/>
        <w:ind w:firstLine="426"/>
        <w:jc w:val="both"/>
        <w:rPr>
          <w:bCs/>
          <w:iCs/>
          <w:sz w:val="22"/>
          <w:szCs w:val="22"/>
          <w:lang w:val="vi-VN"/>
        </w:rPr>
      </w:pPr>
      <w:r w:rsidRPr="000E297F">
        <w:rPr>
          <w:bCs/>
          <w:iCs/>
          <w:sz w:val="22"/>
          <w:szCs w:val="22"/>
          <w:lang w:val="vi-VN"/>
        </w:rPr>
        <w:t xml:space="preserve">Đặc điểm nhân trắc của đối tượng nghiên cứu thời điểm trước can thiệp được chia thành 3 nhóm tương đương nhau: Với tuổi trung bình trong khoảng 29,22 </w:t>
      </w:r>
      <w:r w:rsidRPr="000E297F">
        <w:rPr>
          <w:bCs/>
          <w:iCs/>
          <w:sz w:val="22"/>
          <w:szCs w:val="22"/>
        </w:rPr>
        <w:sym w:font="Symbol" w:char="F0B1"/>
      </w:r>
      <w:r w:rsidRPr="000E297F">
        <w:rPr>
          <w:bCs/>
          <w:iCs/>
          <w:sz w:val="22"/>
          <w:szCs w:val="22"/>
          <w:lang w:val="vi-VN"/>
        </w:rPr>
        <w:t xml:space="preserve"> 10,04 đến 30,01 </w:t>
      </w:r>
      <w:r w:rsidRPr="000E297F">
        <w:rPr>
          <w:bCs/>
          <w:iCs/>
          <w:sz w:val="22"/>
          <w:szCs w:val="22"/>
        </w:rPr>
        <w:sym w:font="Symbol" w:char="F0B1"/>
      </w:r>
      <w:r w:rsidRPr="000E297F">
        <w:rPr>
          <w:bCs/>
          <w:iCs/>
          <w:sz w:val="22"/>
          <w:szCs w:val="22"/>
          <w:lang w:val="vi-VN"/>
        </w:rPr>
        <w:t xml:space="preserve"> 10,40; Cân nặng trung bình là 10,05 </w:t>
      </w:r>
      <w:r w:rsidRPr="000E297F">
        <w:rPr>
          <w:bCs/>
          <w:iCs/>
          <w:sz w:val="22"/>
          <w:szCs w:val="22"/>
        </w:rPr>
        <w:sym w:font="Symbol" w:char="F0B1"/>
      </w:r>
      <w:r w:rsidRPr="000E297F">
        <w:rPr>
          <w:bCs/>
          <w:iCs/>
          <w:sz w:val="22"/>
          <w:szCs w:val="22"/>
          <w:lang w:val="vi-VN"/>
        </w:rPr>
        <w:t xml:space="preserve"> 1,46 kg đến 10,11 </w:t>
      </w:r>
      <w:r w:rsidRPr="000E297F">
        <w:rPr>
          <w:bCs/>
          <w:iCs/>
          <w:sz w:val="22"/>
          <w:szCs w:val="22"/>
        </w:rPr>
        <w:sym w:font="Symbol" w:char="F0B1"/>
      </w:r>
      <w:r w:rsidRPr="000E297F">
        <w:rPr>
          <w:bCs/>
          <w:iCs/>
          <w:sz w:val="22"/>
          <w:szCs w:val="22"/>
          <w:lang w:val="vi-VN"/>
        </w:rPr>
        <w:t xml:space="preserve"> 1,54 kg; Chiều cao trung bình là 81,46 </w:t>
      </w:r>
      <w:r w:rsidRPr="000E297F">
        <w:rPr>
          <w:bCs/>
          <w:iCs/>
          <w:sz w:val="22"/>
          <w:szCs w:val="22"/>
        </w:rPr>
        <w:sym w:font="Symbol" w:char="F0B1"/>
      </w:r>
      <w:r w:rsidRPr="000E297F">
        <w:rPr>
          <w:bCs/>
          <w:iCs/>
          <w:sz w:val="22"/>
          <w:szCs w:val="22"/>
          <w:lang w:val="vi-VN"/>
        </w:rPr>
        <w:t xml:space="preserve"> 6,17 cm đến 81,77 </w:t>
      </w:r>
      <w:r w:rsidRPr="000E297F">
        <w:rPr>
          <w:bCs/>
          <w:iCs/>
          <w:sz w:val="22"/>
          <w:szCs w:val="22"/>
        </w:rPr>
        <w:sym w:font="Symbol" w:char="F0B1"/>
      </w:r>
      <w:r w:rsidRPr="000E297F">
        <w:rPr>
          <w:bCs/>
          <w:iCs/>
          <w:sz w:val="22"/>
          <w:szCs w:val="22"/>
          <w:lang w:val="vi-VN"/>
        </w:rPr>
        <w:t xml:space="preserve"> 6,22 cm; chỉ số Z-score chiều cao/tuổi của đối tượng nghiên cứu trung bình là -2,57 </w:t>
      </w:r>
      <w:r w:rsidRPr="000E297F">
        <w:rPr>
          <w:bCs/>
          <w:iCs/>
          <w:sz w:val="22"/>
          <w:szCs w:val="22"/>
        </w:rPr>
        <w:sym w:font="Symbol" w:char="F0B1"/>
      </w:r>
      <w:r w:rsidRPr="000E297F">
        <w:rPr>
          <w:bCs/>
          <w:iCs/>
          <w:sz w:val="22"/>
          <w:szCs w:val="22"/>
          <w:lang w:val="vi-VN"/>
        </w:rPr>
        <w:t xml:space="preserve"> 0,44 đến -2,64 </w:t>
      </w:r>
      <w:r w:rsidRPr="000E297F">
        <w:rPr>
          <w:bCs/>
          <w:iCs/>
          <w:sz w:val="22"/>
          <w:szCs w:val="22"/>
        </w:rPr>
        <w:sym w:font="Symbol" w:char="F0B1"/>
      </w:r>
      <w:r w:rsidRPr="000E297F">
        <w:rPr>
          <w:bCs/>
          <w:iCs/>
          <w:sz w:val="22"/>
          <w:szCs w:val="22"/>
          <w:lang w:val="vi-VN"/>
        </w:rPr>
        <w:t xml:space="preserve"> 0,62; chỉ số Z-score cân nặng/tuổi của đối tượng nghiên cứu trung bình là -1,97 </w:t>
      </w:r>
      <w:r w:rsidRPr="000E297F">
        <w:rPr>
          <w:bCs/>
          <w:iCs/>
          <w:sz w:val="22"/>
          <w:szCs w:val="22"/>
        </w:rPr>
        <w:sym w:font="Symbol" w:char="F0B1"/>
      </w:r>
      <w:r w:rsidRPr="000E297F">
        <w:rPr>
          <w:bCs/>
          <w:iCs/>
          <w:sz w:val="22"/>
          <w:szCs w:val="22"/>
          <w:lang w:val="vi-VN"/>
        </w:rPr>
        <w:t xml:space="preserve"> 0,59 đến -2,11 </w:t>
      </w:r>
      <w:r w:rsidRPr="000E297F">
        <w:rPr>
          <w:bCs/>
          <w:iCs/>
          <w:sz w:val="22"/>
          <w:szCs w:val="22"/>
        </w:rPr>
        <w:sym w:font="Symbol" w:char="F0B1"/>
      </w:r>
      <w:r w:rsidRPr="000E297F">
        <w:rPr>
          <w:bCs/>
          <w:iCs/>
          <w:sz w:val="22"/>
          <w:szCs w:val="22"/>
          <w:lang w:val="vi-VN"/>
        </w:rPr>
        <w:t xml:space="preserve"> 0,69 và </w:t>
      </w:r>
      <w:bookmarkStart w:id="73" w:name="_Hlk107133513"/>
      <w:r w:rsidRPr="000E297F">
        <w:rPr>
          <w:bCs/>
          <w:iCs/>
          <w:sz w:val="22"/>
          <w:szCs w:val="22"/>
          <w:lang w:val="vi-VN"/>
        </w:rPr>
        <w:t>chỉ số Z-score cân nặng/chiều cao của đối tượng nghiên cứu trung bình</w:t>
      </w:r>
      <w:bookmarkEnd w:id="73"/>
      <w:r w:rsidRPr="000E297F">
        <w:rPr>
          <w:bCs/>
          <w:iCs/>
          <w:sz w:val="22"/>
          <w:szCs w:val="22"/>
          <w:lang w:val="vi-VN"/>
        </w:rPr>
        <w:t xml:space="preserve"> là - 0,79 </w:t>
      </w:r>
      <w:r w:rsidRPr="000E297F">
        <w:rPr>
          <w:bCs/>
          <w:iCs/>
          <w:sz w:val="22"/>
          <w:szCs w:val="22"/>
        </w:rPr>
        <w:sym w:font="Symbol" w:char="F0B1"/>
      </w:r>
      <w:r w:rsidRPr="000E297F">
        <w:rPr>
          <w:bCs/>
          <w:iCs/>
          <w:sz w:val="22"/>
          <w:szCs w:val="22"/>
          <w:lang w:val="vi-VN"/>
        </w:rPr>
        <w:t xml:space="preserve"> 0,77 đến -0,95 </w:t>
      </w:r>
      <w:r w:rsidRPr="000E297F">
        <w:rPr>
          <w:bCs/>
          <w:iCs/>
          <w:sz w:val="22"/>
          <w:szCs w:val="22"/>
        </w:rPr>
        <w:sym w:font="Symbol" w:char="F0B1"/>
      </w:r>
      <w:r w:rsidRPr="000E297F">
        <w:rPr>
          <w:bCs/>
          <w:iCs/>
          <w:sz w:val="22"/>
          <w:szCs w:val="22"/>
          <w:lang w:val="vi-VN"/>
        </w:rPr>
        <w:t xml:space="preserve"> 0,87. Đặc điểm trên cho thấy ở cả 3 nhóm chỉ số Z-score trung bình chiều cao/ tuổi của đối tượng nghiên cứu được chọn dưới -2SD, tương ứng chỉ số Z-score trung bình cân nặng / tuổi ở 2 nhóm dưới -2SD và 1 nhóm gần -2SD. Nhẹ cân là hệ quả của SDD thấp còi và SDD gầy còm. Đối tượng nghiên cứu là trẻ SDD thấp còi, điều đó giải thích thêm tỷ lệ SDD nhẹ cân rất cao trên trẻ 1 - 3 tuổi tại địa bàn nghiên cứu.</w:t>
      </w:r>
    </w:p>
    <w:p w14:paraId="628FCFA8" w14:textId="77777777" w:rsidR="000E297F" w:rsidRPr="000E297F" w:rsidRDefault="000E297F" w:rsidP="00A1659D">
      <w:pPr>
        <w:tabs>
          <w:tab w:val="left" w:pos="426"/>
          <w:tab w:val="left" w:pos="851"/>
        </w:tabs>
        <w:spacing w:line="280" w:lineRule="exact"/>
        <w:ind w:firstLine="426"/>
        <w:jc w:val="both"/>
        <w:rPr>
          <w:b/>
          <w:bCs/>
          <w:iCs/>
          <w:sz w:val="22"/>
          <w:szCs w:val="22"/>
          <w:lang w:val="vi-VN"/>
        </w:rPr>
      </w:pPr>
      <w:bookmarkStart w:id="74" w:name="_Toc132969784"/>
      <w:r w:rsidRPr="000E297F">
        <w:rPr>
          <w:b/>
          <w:bCs/>
          <w:iCs/>
          <w:sz w:val="22"/>
          <w:szCs w:val="22"/>
          <w:lang w:val="vi-VN"/>
        </w:rPr>
        <w:t>4.2.2. Kết quả can thiệp đối với tình trạng suy dinh dưỡng thể thấp còi</w:t>
      </w:r>
      <w:bookmarkEnd w:id="74"/>
    </w:p>
    <w:p w14:paraId="421E5CF0" w14:textId="77777777" w:rsidR="000E297F" w:rsidRPr="000E297F" w:rsidRDefault="000E297F" w:rsidP="00A1659D">
      <w:pPr>
        <w:tabs>
          <w:tab w:val="left" w:pos="426"/>
          <w:tab w:val="left" w:pos="851"/>
        </w:tabs>
        <w:spacing w:line="280" w:lineRule="exact"/>
        <w:ind w:firstLine="426"/>
        <w:jc w:val="both"/>
        <w:rPr>
          <w:b/>
          <w:bCs/>
          <w:iCs/>
          <w:sz w:val="22"/>
          <w:szCs w:val="22"/>
          <w:lang w:val="it-IT"/>
        </w:rPr>
      </w:pPr>
      <w:r w:rsidRPr="000E297F">
        <w:rPr>
          <w:bCs/>
          <w:iCs/>
          <w:sz w:val="22"/>
          <w:szCs w:val="22"/>
          <w:lang w:val="vi-VN"/>
        </w:rPr>
        <w:t xml:space="preserve">Khi xem xét về kết quả can thiệp thay đổi chỉ số Z-score chiều cao/tuổi của đối tượng nghiên cứu sau 6 tháng can thiệp đều có sự thay đổi ở cả 3 nhóm. Ở nhóm chứng chỉ số HAZ trung bình thay đổi so với trước can thiệp giảm - 0,05 </w:t>
      </w:r>
      <w:r w:rsidRPr="000E297F">
        <w:rPr>
          <w:bCs/>
          <w:iCs/>
          <w:sz w:val="22"/>
          <w:szCs w:val="22"/>
        </w:rPr>
        <w:sym w:font="Symbol" w:char="F0B1"/>
      </w:r>
      <w:r w:rsidRPr="000E297F">
        <w:rPr>
          <w:bCs/>
          <w:iCs/>
          <w:sz w:val="22"/>
          <w:szCs w:val="22"/>
          <w:lang w:val="vi-VN"/>
        </w:rPr>
        <w:t xml:space="preserve"> 0,37; Nhóm bổ sung kẽm chỉ số HAZ thay đổi so với trước can thiệp giảm - 0,04 </w:t>
      </w:r>
      <w:r w:rsidRPr="000E297F">
        <w:rPr>
          <w:bCs/>
          <w:iCs/>
          <w:sz w:val="22"/>
          <w:szCs w:val="22"/>
        </w:rPr>
        <w:sym w:font="Symbol" w:char="F0B1"/>
      </w:r>
      <w:r w:rsidRPr="000E297F">
        <w:rPr>
          <w:bCs/>
          <w:iCs/>
          <w:sz w:val="22"/>
          <w:szCs w:val="22"/>
          <w:lang w:val="vi-VN"/>
        </w:rPr>
        <w:t xml:space="preserve"> 0,34; Nhóm bổ sung sắt - kẽm chỉ số HAZ thay đổi so với trước can thiệp giảm - 0,02 </w:t>
      </w:r>
      <w:r w:rsidRPr="000E297F">
        <w:rPr>
          <w:bCs/>
          <w:iCs/>
          <w:sz w:val="22"/>
          <w:szCs w:val="22"/>
        </w:rPr>
        <w:sym w:font="Symbol" w:char="F0B1"/>
      </w:r>
      <w:r w:rsidRPr="000E297F">
        <w:rPr>
          <w:bCs/>
          <w:iCs/>
          <w:sz w:val="22"/>
          <w:szCs w:val="22"/>
          <w:lang w:val="vi-VN"/>
        </w:rPr>
        <w:t xml:space="preserve"> 0,32. sự thay đổi chỉ số HAZ sau can thiệp giảm so với trước can thiệp của cả 3 nhóm nhưng chưa thấy có ý nghĩa thống kê (p&gt;0,05). Mặc dù có sự thay đổi nhưng so với nhóm chứng mức thay đổi nhóm can thiệp thấp hơn so với nhóm chứng. sự thay đổi của nghiên cứu này thấp hơn so với nghiên cứu của Nguyễn Anh Vũ trên trẻ thấp còi 12 đến 23 tháng tuổi, m</w:t>
      </w:r>
      <w:r w:rsidRPr="000E297F">
        <w:rPr>
          <w:bCs/>
          <w:iCs/>
          <w:sz w:val="22"/>
          <w:szCs w:val="22"/>
          <w:lang w:val="it-IT"/>
        </w:rPr>
        <w:t xml:space="preserve">ức tăng trung bình chỉ số HAZ của nhóm can thiệp là </w:t>
      </w:r>
      <w:r w:rsidRPr="000E297F">
        <w:rPr>
          <w:bCs/>
          <w:iCs/>
          <w:sz w:val="22"/>
          <w:szCs w:val="22"/>
          <w:lang w:val="vi-VN"/>
        </w:rPr>
        <w:t xml:space="preserve">0,50 ± 0,96 </w:t>
      </w:r>
      <w:r w:rsidRPr="000E297F">
        <w:rPr>
          <w:bCs/>
          <w:iCs/>
          <w:sz w:val="22"/>
          <w:szCs w:val="22"/>
          <w:lang w:val="it-IT"/>
        </w:rPr>
        <w:t xml:space="preserve">cao hơn nhiều so với nhóm chứng là </w:t>
      </w:r>
      <w:r w:rsidRPr="000E297F">
        <w:rPr>
          <w:bCs/>
          <w:iCs/>
          <w:sz w:val="22"/>
          <w:szCs w:val="22"/>
          <w:lang w:val="vi-VN"/>
        </w:rPr>
        <w:t>0,05 ± 1,17, và s</w:t>
      </w:r>
      <w:r w:rsidRPr="000E297F">
        <w:rPr>
          <w:bCs/>
          <w:iCs/>
          <w:sz w:val="22"/>
          <w:szCs w:val="22"/>
          <w:lang w:val="it-IT"/>
        </w:rPr>
        <w:t xml:space="preserve">ự khác biệt này có ý nghĩa thống kê với p &lt; 0,05. Mức tăng chỉ số HAZ  của chúng tôi củng thấp hơi mức tăng HAZ trong nghiên cứu can thiệp </w:t>
      </w:r>
      <w:r w:rsidRPr="000E297F">
        <w:rPr>
          <w:bCs/>
          <w:iCs/>
          <w:sz w:val="22"/>
          <w:szCs w:val="22"/>
          <w:lang w:val="it-IT"/>
        </w:rPr>
        <w:lastRenderedPageBreak/>
        <w:t>bổ sung vi chất dinh dưỡng của tác giả Bùi Đại Thụ (tăng 0,48); và thấp hơi so với mức tăng HAZ trong nghiên cứu can thiệp 6 tháng bổ sung đa vi chất kết hợp với tẩy giun cho nhóm trẻ em dưới 24 tháng tại Quảng Trị (HAZ tăng 0,43 ± 0,29).</w:t>
      </w:r>
    </w:p>
    <w:p w14:paraId="21E03529" w14:textId="77777777" w:rsidR="000E297F" w:rsidRPr="000E297F" w:rsidRDefault="000E297F" w:rsidP="00A1659D">
      <w:pPr>
        <w:tabs>
          <w:tab w:val="left" w:pos="426"/>
          <w:tab w:val="left" w:pos="851"/>
        </w:tabs>
        <w:spacing w:line="280" w:lineRule="exact"/>
        <w:ind w:firstLine="426"/>
        <w:jc w:val="both"/>
        <w:rPr>
          <w:bCs/>
          <w:iCs/>
          <w:sz w:val="22"/>
          <w:szCs w:val="22"/>
          <w:lang w:val="it-IT"/>
        </w:rPr>
      </w:pPr>
      <w:r w:rsidRPr="000E297F">
        <w:rPr>
          <w:bCs/>
          <w:iCs/>
          <w:sz w:val="22"/>
          <w:szCs w:val="22"/>
          <w:lang w:val="it-IT"/>
        </w:rPr>
        <w:t>Kết quả can thiệp thay đổi tỷ lệ suy dinh dưỡng thể thấp còi ở cả 3 nhóm đều có sự thay đổi về tỷ lệ SDD thể thấp còi trước và sau can thiệp: ở nhóm chứng có 8 trẻ sau 6 tháng can thiệp chiếm tỷ lệ 8,1%; nhóm bổ sung Zn có 15 trẻ  thoát khỏi SDD thấp còi chiếm tỷ lệ 18% và nhóm bổ sung Fe-Zn có 10 trẻ thoát khỏi SDD thấp còi chiếp tỷ lệ 11,1%. sự thay đổi tỷ lệ suy dinh dưỡng thể thấp còi ở trước can thiệp so với sau can thiệp cả 3 nhóm có ý nghĩa thống kê (p&lt;0,05). so với nghiên cứu của Nguyễn Anh Vũ cho thấy sau can thiệp tỷ thấp còi của nhóm đối chứng giảm từ 100% xuống còn 63,1% trong khi đó nhóm can thiệp giảm còn 44,6 %. Chỉ số hiệu quả của nhóm chứng và nhóm can thiệp tương ứng là 36,9% và 55,4%..  Trong nghiên cứu của chúng tôi, kết quả can thiệp thay đổi tỷ lệ suy dinh dưỡng thể thấp còi ở nghiên cứu của chúng tôi thấp hơn so với của Nguyễn Thanh Hà (năm 2011) nghiên cứu trên trẻ 6-36 tháng tuổi trong 6 tháng tỷ lệ thấp còi giảm được 40,7%.</w:t>
      </w:r>
    </w:p>
    <w:p w14:paraId="316434CC" w14:textId="77777777" w:rsidR="000E297F" w:rsidRPr="000E297F" w:rsidRDefault="000E297F" w:rsidP="00A1659D">
      <w:pPr>
        <w:tabs>
          <w:tab w:val="left" w:pos="426"/>
          <w:tab w:val="left" w:pos="851"/>
        </w:tabs>
        <w:spacing w:line="280" w:lineRule="exact"/>
        <w:ind w:firstLine="426"/>
        <w:jc w:val="both"/>
        <w:rPr>
          <w:bCs/>
          <w:iCs/>
          <w:sz w:val="22"/>
          <w:szCs w:val="22"/>
          <w:lang w:val="it-IT"/>
        </w:rPr>
      </w:pPr>
      <w:r w:rsidRPr="000E297F">
        <w:rPr>
          <w:bCs/>
          <w:iCs/>
          <w:sz w:val="22"/>
          <w:szCs w:val="22"/>
          <w:lang w:val="it-IT"/>
        </w:rPr>
        <w:t xml:space="preserve">Xét về chỉ số hiệu quả đối với tình trạng suy dinh dưỡng thấp còi sau can thiệp kết quả cũng cho thấy trẻ được bổ sung kẽm và nhóm trẻ bổ sung sắt – kẽm sau 6 tháng thấy có hiệu quả giảm nguy cơ tuyệt đối với suy dinh dưỡng thấp còi là đối với nhóm kẽm là 7,9% (ARR= 7,9), tỷ lệ giảm cơ tuyệt đối cao hơn nhóm trẻ sử dụng bánh bổ sung sắt + kém. Khi cho trẻ ăn bánh trong 6 tháng thấy 13 trẻ ăn bánh bổ sung Zn thì có một trẻ thoát khỏi suy dinh dưỡng thấp còi (NNT= 12,66) cao hơn  Kết quả cho trẻ ăn bánh bổ sung Fe+Zn có một trẻ thoát khỏi SDD thấp còi (NNT= 50). </w:t>
      </w:r>
    </w:p>
    <w:p w14:paraId="6C4A33D9" w14:textId="77777777" w:rsidR="000E297F" w:rsidRPr="000E297F" w:rsidRDefault="000E297F" w:rsidP="00A1659D">
      <w:pPr>
        <w:tabs>
          <w:tab w:val="left" w:pos="426"/>
          <w:tab w:val="left" w:pos="851"/>
        </w:tabs>
        <w:spacing w:line="280" w:lineRule="exact"/>
        <w:ind w:firstLine="426"/>
        <w:jc w:val="both"/>
        <w:rPr>
          <w:b/>
          <w:bCs/>
          <w:iCs/>
          <w:sz w:val="22"/>
          <w:szCs w:val="22"/>
          <w:lang w:val="it-IT"/>
        </w:rPr>
      </w:pPr>
      <w:bookmarkStart w:id="75" w:name="_Toc132969785"/>
      <w:r w:rsidRPr="000E297F">
        <w:rPr>
          <w:b/>
          <w:bCs/>
          <w:iCs/>
          <w:sz w:val="22"/>
          <w:szCs w:val="22"/>
          <w:lang w:val="it-IT"/>
        </w:rPr>
        <w:t>4.2.3. Kết quả can thiệp đối với tình trạng suy dinh dưỡng thể nhẹ cân</w:t>
      </w:r>
      <w:bookmarkEnd w:id="75"/>
    </w:p>
    <w:p w14:paraId="75B3FF72" w14:textId="77777777" w:rsidR="000E297F" w:rsidRPr="000E297F" w:rsidRDefault="000E297F" w:rsidP="00A1659D">
      <w:pPr>
        <w:tabs>
          <w:tab w:val="left" w:pos="426"/>
          <w:tab w:val="left" w:pos="851"/>
        </w:tabs>
        <w:spacing w:line="280" w:lineRule="exact"/>
        <w:ind w:firstLine="426"/>
        <w:jc w:val="both"/>
        <w:rPr>
          <w:bCs/>
          <w:iCs/>
          <w:sz w:val="22"/>
          <w:szCs w:val="22"/>
          <w:lang w:val="it-IT"/>
        </w:rPr>
      </w:pPr>
      <w:r w:rsidRPr="000E297F">
        <w:rPr>
          <w:bCs/>
          <w:iCs/>
          <w:sz w:val="22"/>
          <w:szCs w:val="22"/>
          <w:lang w:val="it-IT"/>
        </w:rPr>
        <w:t xml:space="preserve">Kết quả thay đổi chỉ số Z-score cân nặng/tuổi của đối tượng nghiên cứu sau 6 tháng can thiệp cho thấy chỉ số WAZ trung bình ở nhóm chứng sau can thiệp thay đổi so với trước can thiệp giảm -0,32 </w:t>
      </w:r>
      <w:r w:rsidRPr="000E297F">
        <w:rPr>
          <w:bCs/>
          <w:iCs/>
          <w:sz w:val="22"/>
          <w:szCs w:val="22"/>
        </w:rPr>
        <w:lastRenderedPageBreak/>
        <w:sym w:font="Symbol" w:char="F0B1"/>
      </w:r>
      <w:r w:rsidRPr="000E297F">
        <w:rPr>
          <w:bCs/>
          <w:iCs/>
          <w:sz w:val="22"/>
          <w:szCs w:val="22"/>
          <w:lang w:val="it-IT"/>
        </w:rPr>
        <w:t xml:space="preserve"> 0,33; Nhóm bổ sung kẽm giảm - 0,42 </w:t>
      </w:r>
      <w:r w:rsidRPr="000E297F">
        <w:rPr>
          <w:bCs/>
          <w:iCs/>
          <w:sz w:val="22"/>
          <w:szCs w:val="22"/>
        </w:rPr>
        <w:sym w:font="Symbol" w:char="F0B1"/>
      </w:r>
      <w:r w:rsidRPr="000E297F">
        <w:rPr>
          <w:bCs/>
          <w:iCs/>
          <w:sz w:val="22"/>
          <w:szCs w:val="22"/>
          <w:lang w:val="it-IT"/>
        </w:rPr>
        <w:t xml:space="preserve"> 0,37; Nhóm bổ sung sắt - kẽm giảm - 0,36 </w:t>
      </w:r>
      <w:r w:rsidRPr="000E297F">
        <w:rPr>
          <w:bCs/>
          <w:iCs/>
          <w:sz w:val="22"/>
          <w:szCs w:val="22"/>
        </w:rPr>
        <w:sym w:font="Symbol" w:char="F0B1"/>
      </w:r>
      <w:r w:rsidRPr="000E297F">
        <w:rPr>
          <w:bCs/>
          <w:iCs/>
          <w:sz w:val="22"/>
          <w:szCs w:val="22"/>
          <w:lang w:val="it-IT"/>
        </w:rPr>
        <w:t xml:space="preserve"> 0,30. Sự thay đổi trước và sau can thiệp của các nhóm có ý nghĩa thống kê (p&lt;0,05). Tương tự nghiên cứu trên trẻ suy dinh dưỡng thấp còi ở trẻ 12 - 23 tháng tuổi huyện Tiên Lữ tỉnh Hưng Yên năm 2017 cho thấy chỉ số Z- score cân nặng theo tuổi (WAZ) của cả 2 nhóm chứng và can thiệp đều được cải thiện đáng kể. Mức tăng trung bình chỉ số WAZ của nhóm can thiệp là 0,41 ± 1,11 cao hơn có ý nghĩa thống kê so với nhóm chứng là 0,07 ± 1,15 (p &lt; 0,05) và tương tự với kết quả của Trần Thị Lan trong nghiên cứu can thiệp 6 tháng bổ sung đa vi chất kết hợp với tẩy giun cho nhóm trẻ em dưới 24 tháng tại Quảng Trị mức tăng WAZ: 0,40 ± 0,29.</w:t>
      </w:r>
    </w:p>
    <w:p w14:paraId="155B9CBF" w14:textId="77777777" w:rsidR="000E297F" w:rsidRPr="000E297F" w:rsidRDefault="000E297F" w:rsidP="00A1659D">
      <w:pPr>
        <w:tabs>
          <w:tab w:val="left" w:pos="426"/>
          <w:tab w:val="left" w:pos="851"/>
        </w:tabs>
        <w:spacing w:line="280" w:lineRule="exact"/>
        <w:ind w:firstLine="426"/>
        <w:jc w:val="both"/>
        <w:rPr>
          <w:bCs/>
          <w:iCs/>
          <w:sz w:val="22"/>
          <w:szCs w:val="22"/>
          <w:lang w:val="it-IT"/>
        </w:rPr>
      </w:pPr>
      <w:r w:rsidRPr="000E297F">
        <w:rPr>
          <w:bCs/>
          <w:iCs/>
          <w:sz w:val="22"/>
          <w:szCs w:val="22"/>
          <w:lang w:val="it-IT"/>
        </w:rPr>
        <w:t xml:space="preserve">Kết quả thay đổi tỷ lệ suy dinh dưỡng thể nhẹ cân sau 6 tháng can thiệp thấy có sự thay đổi về tỷ lệ SDD thể nhẹ cân trước và sau can thiệp ở cả 3 nhóm có ý nghĩa thống kê (p&lt;0,05). Đối với nhóm chứng tỷ lệ suy dinh dưỡng thể nhẹ cân giảm 18%, trong khi đó nhóm bổ sung kẽm giảm 22,8% và nhóm bổ sung sắt - kẽm giảm 14,3%. so với nghiên cứu bổ sung sản phẩm sẳn có tại Hưng Yên năm 2017. Nghiên cứu của chúng tôi có giảm, tỷ lệ giảm suy dinh dưỡng nhẹ cân ở nhóm can thiệp thấp hơn so với nghiên cứu can thiệp cải thiện tình trạng nhẹ cân sau 12 tháng của cả 2 nhóm tại Hưng Yên (nhóm chứng giảm từ 18,5% xuống 10,8%; nhóm can thiệp giảm từ 26,1% xuống 6,1%). </w:t>
      </w:r>
    </w:p>
    <w:p w14:paraId="76990740" w14:textId="77777777" w:rsidR="000E297F" w:rsidRPr="000E297F" w:rsidRDefault="000E297F" w:rsidP="00A1659D">
      <w:pPr>
        <w:tabs>
          <w:tab w:val="left" w:pos="426"/>
          <w:tab w:val="left" w:pos="851"/>
        </w:tabs>
        <w:spacing w:line="280" w:lineRule="exact"/>
        <w:ind w:firstLine="426"/>
        <w:jc w:val="both"/>
        <w:rPr>
          <w:bCs/>
          <w:iCs/>
          <w:sz w:val="22"/>
          <w:szCs w:val="22"/>
          <w:lang w:val="it-IT"/>
        </w:rPr>
      </w:pPr>
      <w:r w:rsidRPr="000E297F">
        <w:rPr>
          <w:bCs/>
          <w:iCs/>
          <w:sz w:val="22"/>
          <w:szCs w:val="22"/>
          <w:lang w:val="it-IT"/>
        </w:rPr>
        <w:t>Xem xét chỉ số hiêu quả: sau can thiệp cho thấy nhóm Nhóm bổ sung kẽm có 70,2% đối tượng không suy dinh dưỡng nhẹ cân cao hơn so với nhóm chứng 63,60%. Đánh giá chỉ số hiệu quả giảm nguy cơ tuyệt đối với suy dinh dưỡng thấp còi là 6,6 %. kết quả cũng cho thấy cứ 15 trẻ sử dụng bánh bổ sung kẽm sau 6 tháng thì có một trẻ không suy dinh dưỡng nhẹ cân (NTT= 15,15). Ở thời điểm sau can thiệp bổ sung sắt - kẽm có 69,70% đối tượng ở nhóm can thiệp không suy dinh dưỡng thể nhẹ cân cao hơn so với nhóm chứng (63,60%). Chỉ số hiệu quả can thiệp giảm nguy cơ tuyệt đối với suy dinh dưỡng thể nhẹ cân là 6,1% và can thiệp Nhóm bổ sung sắt - kẽm cho 16 trẻ em được thì có một trẻ không suy dinh dưỡng thể nhẹ cân (NNT=16,39).</w:t>
      </w:r>
    </w:p>
    <w:p w14:paraId="67B82778" w14:textId="77777777" w:rsidR="000E297F" w:rsidRPr="000E297F" w:rsidRDefault="000E297F" w:rsidP="00A1659D">
      <w:pPr>
        <w:tabs>
          <w:tab w:val="left" w:pos="426"/>
          <w:tab w:val="left" w:pos="851"/>
        </w:tabs>
        <w:spacing w:line="280" w:lineRule="exact"/>
        <w:ind w:firstLine="426"/>
        <w:jc w:val="both"/>
        <w:rPr>
          <w:bCs/>
          <w:iCs/>
          <w:sz w:val="22"/>
          <w:szCs w:val="22"/>
          <w:lang w:val="it-IT"/>
        </w:rPr>
      </w:pPr>
      <w:r w:rsidRPr="000E297F">
        <w:rPr>
          <w:bCs/>
          <w:iCs/>
          <w:sz w:val="22"/>
          <w:szCs w:val="22"/>
          <w:lang w:val="it-IT"/>
        </w:rPr>
        <w:lastRenderedPageBreak/>
        <w:t>Kết quả can thiệp đối với tình trạng suy dinh dưỡng thể nhẹ cân khi bổ sung kẽm và bổ sung sắt - kẽm so với nhóm chứng có sự thay đổi về chỉ số Z-score cân nặng/tuổi gần tương đương nhau (so với nhóm chứng ở nhóm bổ sung kẽm chỉ số WAZ tăng 0,1 và ở nhóm bổ sung sắt - kẽm chỉ số WAZ tăng 0,06) và có ý nghĩa thống kê (p&lt;0,05).</w:t>
      </w:r>
      <w:bookmarkStart w:id="76" w:name="_Toc107765683"/>
    </w:p>
    <w:p w14:paraId="1ECF254D" w14:textId="77777777" w:rsidR="000E297F" w:rsidRPr="000E297F" w:rsidRDefault="000E297F" w:rsidP="00A1659D">
      <w:pPr>
        <w:tabs>
          <w:tab w:val="left" w:pos="426"/>
          <w:tab w:val="left" w:pos="851"/>
        </w:tabs>
        <w:spacing w:line="280" w:lineRule="exact"/>
        <w:ind w:firstLine="426"/>
        <w:jc w:val="both"/>
        <w:rPr>
          <w:b/>
          <w:bCs/>
          <w:iCs/>
          <w:sz w:val="22"/>
          <w:szCs w:val="22"/>
          <w:lang w:val="it-IT"/>
        </w:rPr>
      </w:pPr>
      <w:bookmarkStart w:id="77" w:name="_Toc132969786"/>
      <w:r w:rsidRPr="000E297F">
        <w:rPr>
          <w:b/>
          <w:bCs/>
          <w:iCs/>
          <w:sz w:val="22"/>
          <w:szCs w:val="22"/>
          <w:lang w:val="it-IT"/>
        </w:rPr>
        <w:t>4.2.4. Kết quả thay đổi tình trạng suy dinh dưỡng thể gầy còm sau 6 tháng can thiệp</w:t>
      </w:r>
      <w:bookmarkEnd w:id="76"/>
      <w:bookmarkEnd w:id="77"/>
    </w:p>
    <w:p w14:paraId="0BD6B45F" w14:textId="77777777" w:rsidR="000E297F" w:rsidRPr="000E297F" w:rsidRDefault="000E297F" w:rsidP="00A1659D">
      <w:pPr>
        <w:tabs>
          <w:tab w:val="left" w:pos="426"/>
          <w:tab w:val="left" w:pos="851"/>
        </w:tabs>
        <w:spacing w:line="280" w:lineRule="exact"/>
        <w:ind w:firstLine="426"/>
        <w:jc w:val="both"/>
        <w:rPr>
          <w:bCs/>
          <w:iCs/>
          <w:sz w:val="22"/>
          <w:szCs w:val="22"/>
          <w:lang w:val="it-IT"/>
        </w:rPr>
      </w:pPr>
      <w:r w:rsidRPr="000E297F">
        <w:rPr>
          <w:bCs/>
          <w:iCs/>
          <w:sz w:val="22"/>
          <w:szCs w:val="22"/>
          <w:lang w:val="it-IT"/>
        </w:rPr>
        <w:t xml:space="preserve">Kết quả thay đổi chỉ số Z-score cân nặng/ chiều cao của đối tượng nghiên cứu sau 6 tháng can thiệp cho thấy chỉ số WHZ trung bình ở các nhóm trước can thiệp, sau can thiệp và thay đổi so với trước can thiệp giảm như sau: nhóm chứng -0,97 </w:t>
      </w:r>
      <w:r w:rsidRPr="000E297F">
        <w:rPr>
          <w:bCs/>
          <w:iCs/>
          <w:sz w:val="22"/>
          <w:szCs w:val="22"/>
        </w:rPr>
        <w:sym w:font="Symbol" w:char="F0B1"/>
      </w:r>
      <w:r w:rsidRPr="000E297F">
        <w:rPr>
          <w:bCs/>
          <w:iCs/>
          <w:sz w:val="22"/>
          <w:szCs w:val="22"/>
          <w:lang w:val="it-IT"/>
        </w:rPr>
        <w:t xml:space="preserve"> 0,87, -0,47 </w:t>
      </w:r>
      <w:r w:rsidRPr="000E297F">
        <w:rPr>
          <w:bCs/>
          <w:iCs/>
          <w:sz w:val="22"/>
          <w:szCs w:val="22"/>
        </w:rPr>
        <w:sym w:font="Symbol" w:char="F0B1"/>
      </w:r>
      <w:r w:rsidRPr="000E297F">
        <w:rPr>
          <w:bCs/>
          <w:iCs/>
          <w:sz w:val="22"/>
          <w:szCs w:val="22"/>
          <w:lang w:val="it-IT"/>
        </w:rPr>
        <w:t xml:space="preserve"> 0,91,  - 0,50 </w:t>
      </w:r>
      <w:r w:rsidRPr="000E297F">
        <w:rPr>
          <w:bCs/>
          <w:iCs/>
          <w:sz w:val="22"/>
          <w:szCs w:val="22"/>
        </w:rPr>
        <w:sym w:font="Symbol" w:char="F0B1"/>
      </w:r>
      <w:r w:rsidRPr="000E297F">
        <w:rPr>
          <w:bCs/>
          <w:iCs/>
          <w:sz w:val="22"/>
          <w:szCs w:val="22"/>
          <w:lang w:val="it-IT"/>
        </w:rPr>
        <w:t xml:space="preserve"> 0,55; Nhóm bổ sung kẽm -0,90 </w:t>
      </w:r>
      <w:r w:rsidRPr="000E297F">
        <w:rPr>
          <w:bCs/>
          <w:iCs/>
          <w:sz w:val="22"/>
          <w:szCs w:val="22"/>
        </w:rPr>
        <w:sym w:font="Symbol" w:char="F0B1"/>
      </w:r>
      <w:r w:rsidRPr="000E297F">
        <w:rPr>
          <w:bCs/>
          <w:iCs/>
          <w:sz w:val="22"/>
          <w:szCs w:val="22"/>
          <w:lang w:val="it-IT"/>
        </w:rPr>
        <w:t xml:space="preserve"> 0,81, -0,29 </w:t>
      </w:r>
      <w:r w:rsidRPr="000E297F">
        <w:rPr>
          <w:bCs/>
          <w:iCs/>
          <w:sz w:val="22"/>
          <w:szCs w:val="22"/>
        </w:rPr>
        <w:sym w:font="Symbol" w:char="F0B1"/>
      </w:r>
      <w:r w:rsidRPr="000E297F">
        <w:rPr>
          <w:bCs/>
          <w:iCs/>
          <w:sz w:val="22"/>
          <w:szCs w:val="22"/>
          <w:lang w:val="it-IT"/>
        </w:rPr>
        <w:t xml:space="preserve"> 0,85, - 0,61 </w:t>
      </w:r>
      <w:r w:rsidRPr="000E297F">
        <w:rPr>
          <w:bCs/>
          <w:iCs/>
          <w:sz w:val="22"/>
          <w:szCs w:val="22"/>
        </w:rPr>
        <w:sym w:font="Symbol" w:char="F0B1"/>
      </w:r>
      <w:r w:rsidRPr="000E297F">
        <w:rPr>
          <w:bCs/>
          <w:iCs/>
          <w:sz w:val="22"/>
          <w:szCs w:val="22"/>
          <w:lang w:val="it-IT"/>
        </w:rPr>
        <w:t xml:space="preserve"> 0,54; Nhóm bổ sung sắt + kẽm -0,85 </w:t>
      </w:r>
      <w:r w:rsidRPr="000E297F">
        <w:rPr>
          <w:bCs/>
          <w:iCs/>
          <w:sz w:val="22"/>
          <w:szCs w:val="22"/>
        </w:rPr>
        <w:sym w:font="Symbol" w:char="F0B1"/>
      </w:r>
      <w:r w:rsidRPr="000E297F">
        <w:rPr>
          <w:bCs/>
          <w:iCs/>
          <w:sz w:val="22"/>
          <w:szCs w:val="22"/>
          <w:lang w:val="it-IT"/>
        </w:rPr>
        <w:t xml:space="preserve"> 0,76, -0,29 </w:t>
      </w:r>
      <w:r w:rsidRPr="000E297F">
        <w:rPr>
          <w:bCs/>
          <w:iCs/>
          <w:sz w:val="22"/>
          <w:szCs w:val="22"/>
        </w:rPr>
        <w:sym w:font="Symbol" w:char="F0B1"/>
      </w:r>
      <w:r w:rsidRPr="000E297F">
        <w:rPr>
          <w:bCs/>
          <w:iCs/>
          <w:sz w:val="22"/>
          <w:szCs w:val="22"/>
          <w:lang w:val="it-IT"/>
        </w:rPr>
        <w:t xml:space="preserve"> 0,74, - 0,56 </w:t>
      </w:r>
      <w:r w:rsidRPr="000E297F">
        <w:rPr>
          <w:bCs/>
          <w:iCs/>
          <w:sz w:val="22"/>
          <w:szCs w:val="22"/>
        </w:rPr>
        <w:sym w:font="Symbol" w:char="F0B1"/>
      </w:r>
      <w:r w:rsidRPr="000E297F">
        <w:rPr>
          <w:bCs/>
          <w:iCs/>
          <w:sz w:val="22"/>
          <w:szCs w:val="22"/>
          <w:lang w:val="it-IT"/>
        </w:rPr>
        <w:t xml:space="preserve"> 0,48. sự thay đổi trước và sau can thiệp của các nhóm có ý nghĩa thống kê (p &lt; 0,05) cả 3 nhóm đều chỉ số WHZ trung bình đều tăng đối với nhóm bổ sung kẽm chỉ số WHZ tăng trung bình so với nhóm chứng tăng 0,11 và nhóm bổ sung sắt - kẽm chỉ số WHZ tăng trung bình so với nhóm chứng tăng 0,06.</w:t>
      </w:r>
      <w:bookmarkStart w:id="78" w:name="_Toc107765684"/>
    </w:p>
    <w:p w14:paraId="46D2593B" w14:textId="77777777" w:rsidR="000E297F" w:rsidRPr="000E297F" w:rsidRDefault="000E297F" w:rsidP="00A1659D">
      <w:pPr>
        <w:tabs>
          <w:tab w:val="left" w:pos="426"/>
          <w:tab w:val="left" w:pos="851"/>
        </w:tabs>
        <w:spacing w:line="280" w:lineRule="exact"/>
        <w:ind w:firstLine="426"/>
        <w:jc w:val="both"/>
        <w:rPr>
          <w:bCs/>
          <w:iCs/>
          <w:sz w:val="22"/>
          <w:szCs w:val="22"/>
          <w:lang w:val="it-IT"/>
        </w:rPr>
      </w:pPr>
      <w:r w:rsidRPr="000E297F">
        <w:rPr>
          <w:bCs/>
          <w:iCs/>
          <w:sz w:val="22"/>
          <w:szCs w:val="22"/>
          <w:lang w:val="it-IT"/>
        </w:rPr>
        <w:t>Xét về kết quả thay đổi tỷ lệ SDD thể gầy còm sau can thiệp cả 3 nhóm đối với nhóm Có sự thay đổi về tỷ lệ SDD thể gầy còm sau can thiệp. ở nhóm bổ sung kẽm có 10 đối tượng trước can thiệp bị SDD gầy còm chiếm tỷ lệ 8,8%  sau can thiệp còn 1 đối tượng, có sự thay đổi đến 7,7% cao hơn nhóm chứng 5,4%. Đối với nhóm bổ sung sắt - kẽm sự thay đổi tỷ lệ suy dinh dưỡng thể gầy còm thấp (4,2%) sự thay đổi này chưa thấy có ý nghĩa thống kê (p &lt; 0,05).</w:t>
      </w:r>
      <w:bookmarkEnd w:id="78"/>
      <w:r w:rsidRPr="000E297F">
        <w:rPr>
          <w:bCs/>
          <w:iCs/>
          <w:sz w:val="22"/>
          <w:szCs w:val="22"/>
          <w:lang w:val="it-IT"/>
        </w:rPr>
        <w:t xml:space="preserve"> </w:t>
      </w:r>
    </w:p>
    <w:p w14:paraId="0EB61988" w14:textId="77777777" w:rsidR="000E297F" w:rsidRPr="000E297F" w:rsidRDefault="000E297F" w:rsidP="00A1659D">
      <w:pPr>
        <w:tabs>
          <w:tab w:val="left" w:pos="426"/>
          <w:tab w:val="left" w:pos="851"/>
        </w:tabs>
        <w:spacing w:line="280" w:lineRule="exact"/>
        <w:ind w:firstLine="426"/>
        <w:jc w:val="both"/>
        <w:rPr>
          <w:b/>
          <w:bCs/>
          <w:iCs/>
          <w:sz w:val="22"/>
          <w:szCs w:val="22"/>
          <w:lang w:val="it-IT"/>
        </w:rPr>
      </w:pPr>
      <w:bookmarkStart w:id="79" w:name="_Toc132969787"/>
      <w:r w:rsidRPr="000E297F">
        <w:rPr>
          <w:b/>
          <w:bCs/>
          <w:iCs/>
          <w:sz w:val="22"/>
          <w:szCs w:val="22"/>
          <w:lang w:val="it-IT"/>
        </w:rPr>
        <w:t>4.2.5.</w:t>
      </w:r>
      <w:bookmarkStart w:id="80" w:name="_Hlk107427490"/>
      <w:r w:rsidRPr="000E297F">
        <w:rPr>
          <w:b/>
          <w:bCs/>
          <w:iCs/>
          <w:sz w:val="22"/>
          <w:szCs w:val="22"/>
          <w:lang w:val="it-IT"/>
        </w:rPr>
        <w:t xml:space="preserve"> Kết quả của sử dụng sắt - kẽm phối hợp với sử dụng kẽm riêng rẽ lên tình trạng thiếu máu</w:t>
      </w:r>
      <w:bookmarkStart w:id="81" w:name="_Toc107765686"/>
      <w:bookmarkEnd w:id="79"/>
    </w:p>
    <w:p w14:paraId="7AFE3BDD" w14:textId="77777777" w:rsidR="000E297F" w:rsidRPr="000E297F" w:rsidRDefault="000E297F" w:rsidP="00A1659D">
      <w:pPr>
        <w:tabs>
          <w:tab w:val="left" w:pos="426"/>
          <w:tab w:val="left" w:pos="851"/>
        </w:tabs>
        <w:spacing w:line="280" w:lineRule="exact"/>
        <w:ind w:firstLine="426"/>
        <w:jc w:val="both"/>
        <w:rPr>
          <w:bCs/>
          <w:iCs/>
          <w:sz w:val="22"/>
          <w:szCs w:val="22"/>
          <w:lang w:val="it-IT"/>
        </w:rPr>
      </w:pPr>
      <w:r w:rsidRPr="000E297F">
        <w:rPr>
          <w:bCs/>
          <w:iCs/>
          <w:sz w:val="22"/>
          <w:szCs w:val="22"/>
          <w:lang w:val="it-IT"/>
        </w:rPr>
        <w:t xml:space="preserve">Thay đổi nồng độ Hb của đối tượng nghiên cứu sau 6 tháng can thiệp có sự khác biệt giữa trước can thiệp và sau can thiệp. Sau can thiệp, nồng độ Hb tăng lên ở cả 3 nhóm. Ở nhóm chứng nồng độ Hb tăng trung bình 3,2 ± 12,7 g/L, nhóm bổ sung kẽm nồng độ Hb tăng trung bình 3,4 ± 13,6 g/L. Nhóm bổ sung sắt-kẽm nồng độ Hb tăng trung bình 2,5 ± 14,9 g/L (p = 0,098). Đối với nhóm chứng và nhóm </w:t>
      </w:r>
      <w:r w:rsidRPr="000E297F">
        <w:rPr>
          <w:bCs/>
          <w:iCs/>
          <w:sz w:val="22"/>
          <w:szCs w:val="22"/>
          <w:lang w:val="it-IT"/>
        </w:rPr>
        <w:lastRenderedPageBreak/>
        <w:t xml:space="preserve">bổ sung kẽm trước và sau can thiệp có ý nghĩa thống kê (p&lt;0,05). </w:t>
      </w:r>
      <w:bookmarkStart w:id="82" w:name="_Toc107765688"/>
      <w:bookmarkEnd w:id="80"/>
      <w:bookmarkEnd w:id="81"/>
      <w:r w:rsidRPr="000E297F">
        <w:rPr>
          <w:bCs/>
          <w:iCs/>
          <w:sz w:val="22"/>
          <w:szCs w:val="22"/>
          <w:lang w:val="it-IT"/>
        </w:rPr>
        <w:t xml:space="preserve">Mặc dù nồng độ Hb tăng ở hai nhóm can thiệp, so sánh với mức tăng so với nhóm chứng nhóm bổ sung kẽm nồng độ Hb tăng không đáng kể (tăng 0,02g/L) và so sánh </w:t>
      </w:r>
      <w:bookmarkStart w:id="83" w:name="_Toc107765687"/>
      <w:r w:rsidRPr="000E297F">
        <w:rPr>
          <w:bCs/>
          <w:iCs/>
          <w:sz w:val="22"/>
          <w:szCs w:val="22"/>
          <w:lang w:val="it-IT"/>
        </w:rPr>
        <w:t>với với nhóm chứng nhóm bổ sung sắt - kẽm nồng độ Hb không tăng. So sánh tỷ lệ thiếu máu trước và sau 6 tháng can thiệp, xem xét hiệu quả giảm tỷ lệ thiếu máu sau 6 tháng can thiệp so với trước can thiệp cho thấy tỷ lệ thiếu máu ở nhóm chứng không giảm mà còn tăng từ 30,3% thiếu máu lên 33,3%, trong khi tỷ lệ thiếu máu ở nhóm bổ sung kẽm là giảm 5,4%, tỷ lệ thiếu máu ở nhóm bổ sung sắt-kẽm là giảm 6,2%. Xem xét giữa 2 nhóm can thiệp cho thấy bổ sung sắt - kẽm giảm tỷ lệ thiếu máu nhiều hơn so với chỉ bổ sung kẽm 1,8%. Tuy nhiên, mức thay đổi tỷ lệ thiếu máu giữa trước và sau can thiệp ở cả 3 nhóm đều chưa thấy có YNTK (p&gt;0,05).</w:t>
      </w:r>
      <w:bookmarkEnd w:id="83"/>
      <w:r w:rsidRPr="000E297F">
        <w:rPr>
          <w:bCs/>
          <w:iCs/>
          <w:sz w:val="22"/>
          <w:szCs w:val="22"/>
          <w:lang w:val="it-IT"/>
        </w:rPr>
        <w:t xml:space="preserve"> </w:t>
      </w:r>
    </w:p>
    <w:p w14:paraId="064B75BD" w14:textId="77777777" w:rsidR="000E297F" w:rsidRPr="000E297F" w:rsidRDefault="000E297F" w:rsidP="00A1659D">
      <w:pPr>
        <w:tabs>
          <w:tab w:val="left" w:pos="426"/>
          <w:tab w:val="left" w:pos="851"/>
        </w:tabs>
        <w:spacing w:line="280" w:lineRule="exact"/>
        <w:ind w:firstLine="426"/>
        <w:jc w:val="both"/>
        <w:rPr>
          <w:bCs/>
          <w:iCs/>
          <w:sz w:val="22"/>
          <w:szCs w:val="22"/>
          <w:lang w:val="it-IT"/>
        </w:rPr>
      </w:pPr>
      <w:r w:rsidRPr="000E297F">
        <w:rPr>
          <w:bCs/>
          <w:iCs/>
          <w:sz w:val="22"/>
          <w:szCs w:val="22"/>
          <w:lang w:val="it-IT"/>
        </w:rPr>
        <w:t>Chỉ số hiệu quả can thiệp đối với tình trạng thiếu máu sau can thiệp.  Hiệu quả can thiệp giảm nguy cơ tuyệt đối với thiếu máu là 2,1 % và can thiệp bổ sung kẽm cho 48 trẻ em thiếu máu thì có một trẻ không thiếu máu (NNT = 47,62); ở nhóm chứng và nhóm can thiệp bổ sung sắt – kẽm sau can thiệp có tỷ lệ không thiếu máu ở nhóm chứng là 66,70% và nhóm can thiệp bổ sung sắt – kẽm là 76,30%. Hiệu quả can thiệp giảm nguy cơ tuyệt đối với thiếu máu là 9,6 % và can thiệp bổ sung sắt - kẽm cho 10 trẻ em thiếu máu thì có một trẻ không thiếu máu (NNT = 10,42). sự khác biệt chưa thấy có ý nghĩa thống kê (p&gt;0,05).</w:t>
      </w:r>
      <w:bookmarkEnd w:id="82"/>
    </w:p>
    <w:p w14:paraId="17F08F3B" w14:textId="77777777" w:rsidR="000E297F" w:rsidRPr="000E297F" w:rsidRDefault="000E297F" w:rsidP="00A1659D">
      <w:pPr>
        <w:tabs>
          <w:tab w:val="left" w:pos="426"/>
          <w:tab w:val="left" w:pos="851"/>
        </w:tabs>
        <w:spacing w:line="280" w:lineRule="exact"/>
        <w:ind w:firstLine="426"/>
        <w:jc w:val="both"/>
        <w:rPr>
          <w:bCs/>
          <w:iCs/>
          <w:sz w:val="22"/>
          <w:szCs w:val="22"/>
          <w:lang w:val="it-IT"/>
        </w:rPr>
      </w:pPr>
      <w:r w:rsidRPr="000E297F">
        <w:rPr>
          <w:bCs/>
          <w:iCs/>
          <w:sz w:val="22"/>
          <w:szCs w:val="22"/>
          <w:lang w:val="it-IT"/>
        </w:rPr>
        <w:t xml:space="preserve">Tỷ lệ thiếu máu của nhóm bổ sung kẽm giảm được 5,4% (từ 36,6% xuống còn 31,2%), và nhóm bổ sung sắt-kẽm giảm được 6,2% (từ 29,9% xuống còn 23,7%). Kết quả cho thấy, sự khác biệt về tỷ lệ thiếu máu trước và sau can thiệp là không có YNTK. Mặc dù vậy, xu hướng giảm tỷ lệ thiếu máu ở nhóm bổ sung kẽm và nhóm bổ sung sắt-kẽm cho thấy sử dụng thực phẩm tăng cường 15 mg kẽm riêng rẽ hay 15 mg sắt phối hợp 15 mg kẽm không ảnh hưởng tiêu cực tới tình trạng thiếu máu. Mức giảm tỷ lệ thiếu máu từ nghiên cứu của chúng tôi tương đương với kết quả của một thử nghiệm ngẫu nhiên có đối chứng tại Phillippine, nồng độ Hb của trẻ sử dụng gạo tăng cường sắt </w:t>
      </w:r>
      <w:r w:rsidRPr="000E297F">
        <w:rPr>
          <w:bCs/>
          <w:iCs/>
          <w:sz w:val="22"/>
          <w:szCs w:val="22"/>
          <w:lang w:val="it-IT"/>
        </w:rPr>
        <w:lastRenderedPageBreak/>
        <w:t>tăng lên, và tỷ lệ thiếu máu giảm 4,7% giữa 2 thời điểm trước và sau can thiệp.</w:t>
      </w:r>
      <w:bookmarkStart w:id="84" w:name="_Toc107765689"/>
    </w:p>
    <w:p w14:paraId="02B38D6C" w14:textId="77777777" w:rsidR="000E297F" w:rsidRPr="000E297F" w:rsidRDefault="000E297F" w:rsidP="00A1659D">
      <w:pPr>
        <w:tabs>
          <w:tab w:val="left" w:pos="426"/>
          <w:tab w:val="left" w:pos="851"/>
        </w:tabs>
        <w:spacing w:line="280" w:lineRule="exact"/>
        <w:ind w:firstLine="426"/>
        <w:jc w:val="both"/>
        <w:rPr>
          <w:bCs/>
          <w:iCs/>
          <w:sz w:val="22"/>
          <w:szCs w:val="22"/>
          <w:lang w:val="it-IT"/>
        </w:rPr>
      </w:pPr>
      <w:r w:rsidRPr="000E297F">
        <w:rPr>
          <w:bCs/>
          <w:iCs/>
          <w:sz w:val="22"/>
          <w:szCs w:val="22"/>
          <w:lang w:val="it-IT"/>
        </w:rPr>
        <w:t>Kết quả của sử dụng sắt - kẽm phối hợp với sử dụng kẽm riêng rẽ lên tình trạng thiếu máu, tỷ lệ thiếu máu sau 6 tháng can thiệp so với trước can thiệp ở trẻ thấp còi 1 – 3 tuổi cho thấy tỷ lệ thiếu máu ở nhóm chứng tăng. So sánh hiệu quả bổ sung kẽm riêng rẽ giảm 5,4% tỷ lệ thiếu máu, tỷ lê giảm tình trạng thiếu máu khi bổ sung sắt-kẽm là giảm 6,2%. Xem xét giữa 2 nhóm can thiệp cho thấy bổ sung sắt + kẽm giảm tỷ lệ thiếu máu nhiều hơn so với chỉ bổ sung kẽm. Chỉ số hiệu quả can thiệp thay bổ sung sắt kẽm phối hợp và bổ sung kẽm riêng lẽ chưa thấy có YNTK (p&gt;0,05).</w:t>
      </w:r>
      <w:bookmarkEnd w:id="84"/>
      <w:r w:rsidRPr="000E297F">
        <w:rPr>
          <w:bCs/>
          <w:iCs/>
          <w:sz w:val="22"/>
          <w:szCs w:val="22"/>
          <w:lang w:val="it-IT"/>
        </w:rPr>
        <w:t xml:space="preserve"> </w:t>
      </w:r>
    </w:p>
    <w:p w14:paraId="3D452A8C" w14:textId="77777777" w:rsidR="000E297F" w:rsidRPr="000E297F" w:rsidRDefault="000E297F" w:rsidP="00A1659D">
      <w:pPr>
        <w:tabs>
          <w:tab w:val="left" w:pos="426"/>
          <w:tab w:val="left" w:pos="851"/>
        </w:tabs>
        <w:spacing w:line="280" w:lineRule="exact"/>
        <w:ind w:firstLine="426"/>
        <w:jc w:val="both"/>
        <w:rPr>
          <w:b/>
          <w:bCs/>
          <w:iCs/>
          <w:sz w:val="22"/>
          <w:szCs w:val="22"/>
          <w:lang w:val="it-IT"/>
        </w:rPr>
      </w:pPr>
      <w:bookmarkStart w:id="85" w:name="_Toc107765690"/>
      <w:bookmarkStart w:id="86" w:name="_Toc118577331"/>
      <w:bookmarkStart w:id="87" w:name="_Toc118656383"/>
      <w:bookmarkStart w:id="88" w:name="_Toc132883782"/>
      <w:bookmarkStart w:id="89" w:name="_Toc132883948"/>
      <w:bookmarkStart w:id="90" w:name="_Toc132884322"/>
      <w:bookmarkStart w:id="91" w:name="_Toc132884404"/>
      <w:bookmarkStart w:id="92" w:name="_Toc132884568"/>
      <w:bookmarkStart w:id="93" w:name="_Toc132969788"/>
      <w:r w:rsidRPr="000E297F">
        <w:rPr>
          <w:b/>
          <w:bCs/>
          <w:iCs/>
          <w:sz w:val="22"/>
          <w:szCs w:val="22"/>
          <w:lang w:val="it-IT"/>
        </w:rPr>
        <w:t>4.2.6. Kết quả cải thiện tình trạng thiếu sắt sau 6 tháng can thiệp</w:t>
      </w:r>
      <w:bookmarkEnd w:id="85"/>
      <w:bookmarkEnd w:id="86"/>
      <w:bookmarkEnd w:id="87"/>
      <w:bookmarkEnd w:id="88"/>
      <w:bookmarkEnd w:id="89"/>
      <w:bookmarkEnd w:id="90"/>
      <w:bookmarkEnd w:id="91"/>
      <w:bookmarkEnd w:id="92"/>
      <w:bookmarkEnd w:id="93"/>
    </w:p>
    <w:p w14:paraId="217E0D30" w14:textId="77777777" w:rsidR="000E297F" w:rsidRPr="000E297F" w:rsidRDefault="000E297F" w:rsidP="00A1659D">
      <w:pPr>
        <w:tabs>
          <w:tab w:val="left" w:pos="426"/>
          <w:tab w:val="left" w:pos="851"/>
        </w:tabs>
        <w:spacing w:line="280" w:lineRule="exact"/>
        <w:ind w:firstLine="426"/>
        <w:jc w:val="both"/>
        <w:rPr>
          <w:bCs/>
          <w:iCs/>
          <w:sz w:val="22"/>
          <w:szCs w:val="22"/>
          <w:lang w:val="it-IT"/>
        </w:rPr>
      </w:pPr>
      <w:bookmarkStart w:id="94" w:name="_Toc107765691"/>
      <w:bookmarkStart w:id="95" w:name="_Toc118577332"/>
      <w:bookmarkStart w:id="96" w:name="_Toc118656384"/>
      <w:r w:rsidRPr="000E297F">
        <w:rPr>
          <w:bCs/>
          <w:iCs/>
          <w:sz w:val="22"/>
          <w:szCs w:val="22"/>
          <w:lang w:val="it-IT"/>
        </w:rPr>
        <w:t>Thay đổi nồng độ Ferritin huyết thanh của đối tượng nghiên cứu sau 6 tháng can thiệp cho thấy nồng độ Ferritin trung bình ở các nhóm trước can thiệp, sau can thiệp và thay đổi so với trước can thiệp giảm như sau: nhóm chứng 27,8 ± 21,6, 43,9 ± 32,7,  16,1 ± 31,3; Nhóm bổ sung kẽm 30,8 ± 24,2, 40,2 ± 29,0, 9,4 ± 24,6; Nhóm bổ sung sắt - kẽm 26,4 ± 16,1, 50,9 ± 38,9, 24,5 ± 37,9. Sự thay đổi trước và sau 6 tháng can thiệp của các nhóm có ý nghĩa thống kê (p&lt;0,05).</w:t>
      </w:r>
      <w:bookmarkEnd w:id="94"/>
      <w:bookmarkEnd w:id="95"/>
      <w:bookmarkEnd w:id="96"/>
    </w:p>
    <w:p w14:paraId="7BCCAA20" w14:textId="77777777" w:rsidR="000E297F" w:rsidRPr="000E297F" w:rsidRDefault="000E297F" w:rsidP="00A1659D">
      <w:pPr>
        <w:tabs>
          <w:tab w:val="left" w:pos="426"/>
          <w:tab w:val="left" w:pos="851"/>
        </w:tabs>
        <w:spacing w:line="280" w:lineRule="exact"/>
        <w:ind w:firstLine="426"/>
        <w:jc w:val="both"/>
        <w:rPr>
          <w:bCs/>
          <w:iCs/>
          <w:sz w:val="22"/>
          <w:szCs w:val="22"/>
          <w:lang w:val="it-IT"/>
        </w:rPr>
      </w:pPr>
      <w:r w:rsidRPr="000E297F">
        <w:rPr>
          <w:bCs/>
          <w:iCs/>
          <w:sz w:val="22"/>
          <w:szCs w:val="22"/>
          <w:lang w:val="it-IT"/>
        </w:rPr>
        <w:t xml:space="preserve">Kết quả nghiên cứu cho thấy, có sự cải thiện nồng độ Ferritin huyết thanh ở cả 3 nhóm. Trong đó, sự cải thiện nồng độ Ferritin huyết thanh ở nhóm </w:t>
      </w:r>
      <w:bookmarkStart w:id="97" w:name="_Hlk107431820"/>
      <w:r w:rsidRPr="000E297F">
        <w:rPr>
          <w:bCs/>
          <w:iCs/>
          <w:sz w:val="22"/>
          <w:szCs w:val="22"/>
          <w:lang w:val="it-IT"/>
        </w:rPr>
        <w:t xml:space="preserve">bổ sung </w:t>
      </w:r>
      <w:bookmarkEnd w:id="97"/>
      <w:r w:rsidRPr="000E297F">
        <w:rPr>
          <w:bCs/>
          <w:iCs/>
          <w:sz w:val="22"/>
          <w:szCs w:val="22"/>
          <w:lang w:val="it-IT"/>
        </w:rPr>
        <w:t xml:space="preserve">sắt-kẽm cao nhất: 24,5 </w:t>
      </w:r>
      <w:r w:rsidRPr="000E297F">
        <w:rPr>
          <w:bCs/>
          <w:iCs/>
          <w:sz w:val="22"/>
          <w:szCs w:val="22"/>
        </w:rPr>
        <w:t>μ</w:t>
      </w:r>
      <w:r w:rsidRPr="000E297F">
        <w:rPr>
          <w:bCs/>
          <w:iCs/>
          <w:sz w:val="22"/>
          <w:szCs w:val="22"/>
          <w:lang w:val="it-IT"/>
        </w:rPr>
        <w:t xml:space="preserve">g/L, cao hơn so với nhóm bổ sung kẽm là nhóm chỉ được tăng cường kẽm riêng rẽ: 9,4 </w:t>
      </w:r>
      <w:r w:rsidRPr="000E297F">
        <w:rPr>
          <w:bCs/>
          <w:iCs/>
          <w:sz w:val="22"/>
          <w:szCs w:val="22"/>
        </w:rPr>
        <w:t>μ</w:t>
      </w:r>
      <w:r w:rsidRPr="000E297F">
        <w:rPr>
          <w:bCs/>
          <w:iCs/>
          <w:sz w:val="22"/>
          <w:szCs w:val="22"/>
          <w:lang w:val="it-IT"/>
        </w:rPr>
        <w:t xml:space="preserve">g/L. Trong khi đó, nhóm chứng cũng có sự cải thiện nồng độ Ferritin huyết thanh, nhiều hơn so với nhóm bổ sung kẽm. Điều đó gợi ý một điểm là, qua diễn biến theo thời gian, cùng với năng lượng cung cấp bổ sung từ bánh suppy 56,25 kcal/ngày, dẫn tới sự cải thiện Ferritin. Do ảnh hưởng tương tác với kẽm, khả năng hấp thu sắt bị ảnh hưởng, mức cải thiện Ferritin ở nhóm bổ sung kẽm thấp hơn so với nhóm chứng. Trong khi đó, nhờ sự bổ sung phối hợp sắt và kẽm trong bổ sung sắt-kẽm, nên khả năng hấp thu và dự trữ sắt của nhóm bổ sung sắt-kẽm tốt hơn so với nhóm bổ sung kẽm. </w:t>
      </w:r>
    </w:p>
    <w:p w14:paraId="75A77699" w14:textId="77777777" w:rsidR="000E297F" w:rsidRPr="000E297F" w:rsidRDefault="000E297F" w:rsidP="00A1659D">
      <w:pPr>
        <w:tabs>
          <w:tab w:val="left" w:pos="426"/>
          <w:tab w:val="left" w:pos="851"/>
        </w:tabs>
        <w:spacing w:line="280" w:lineRule="exact"/>
        <w:ind w:firstLine="426"/>
        <w:jc w:val="both"/>
        <w:rPr>
          <w:bCs/>
          <w:iCs/>
          <w:sz w:val="22"/>
          <w:szCs w:val="22"/>
          <w:lang w:val="it-IT"/>
        </w:rPr>
      </w:pPr>
      <w:bookmarkStart w:id="98" w:name="_Toc107765693"/>
      <w:bookmarkStart w:id="99" w:name="_Toc118577334"/>
      <w:bookmarkStart w:id="100" w:name="_Toc118656386"/>
      <w:r w:rsidRPr="000E297F">
        <w:rPr>
          <w:bCs/>
          <w:iCs/>
          <w:sz w:val="22"/>
          <w:szCs w:val="22"/>
          <w:lang w:val="it-IT"/>
        </w:rPr>
        <w:lastRenderedPageBreak/>
        <w:t>Kết quả cải thiện tình trạng thiếu sắt sau 6 tháng can thiệp ở trẻ thấp còi 1 -3 tuổi cho thấy nồng độ Ferritin trung bình ở các nhóm sau can thiệp thay đổi so với trước can thiệp đều tăng, so với  nhóm chứng giảm như sau: nhóm bổ sung kẽm không tăng so với nhóm chứng, nhóm bổ sung sắt - kẽm tăng cao hơn so với nhóm chứng.Sự thay đổi trước và sau 6 tháng can thiệp của các nhóm có ý nghĩa thống kê (p&lt;0,05). Mặt khác thay đổi tỷ lệ thiếu sắt sau can thiệp cả 3 nhóm đều thay đổi, nhưng mức giảm tỷ lệ thiếu sắt ở nhóm bổ sung kẽm thấp hơn mức giảm ở nhóm chứng và nhóm bổ sung sắt - kẽm giảm hơn nhóm chứng. So sánh thay đổi tỷ lệ thiếu sắt sau can thiệp mức giảm tỷ lệ thiếu sắt ở nhóm bổ sung sắt- kẽm giảm nhiều hơn nhóm bổ sung kẽm sự thay đổi tỷ lệ thiếu sắt trước và sau can thiệp ở cả 3 nhóm đều có YNTK (p&lt; 0,05).</w:t>
      </w:r>
      <w:bookmarkEnd w:id="98"/>
      <w:bookmarkEnd w:id="99"/>
      <w:bookmarkEnd w:id="100"/>
    </w:p>
    <w:p w14:paraId="347DB7DB" w14:textId="77777777" w:rsidR="000E297F" w:rsidRPr="000E297F" w:rsidRDefault="000E297F" w:rsidP="00A1659D">
      <w:pPr>
        <w:tabs>
          <w:tab w:val="left" w:pos="426"/>
          <w:tab w:val="left" w:pos="851"/>
        </w:tabs>
        <w:spacing w:line="280" w:lineRule="exact"/>
        <w:ind w:firstLine="426"/>
        <w:jc w:val="both"/>
        <w:rPr>
          <w:bCs/>
          <w:iCs/>
          <w:sz w:val="22"/>
          <w:szCs w:val="22"/>
          <w:lang w:val="it-IT"/>
        </w:rPr>
      </w:pPr>
      <w:bookmarkStart w:id="101" w:name="_Toc107765694"/>
      <w:bookmarkStart w:id="102" w:name="_Toc118577335"/>
      <w:bookmarkStart w:id="103" w:name="_Toc118656387"/>
      <w:r w:rsidRPr="000E297F">
        <w:rPr>
          <w:bCs/>
          <w:iCs/>
          <w:sz w:val="22"/>
          <w:szCs w:val="22"/>
          <w:lang w:val="it-IT"/>
        </w:rPr>
        <w:t>Bổ sung phối hợp sắt - kẽm kết quả tốt hơn so với bổ sung kẽm đến tình trạng thiếu sắt sau 6 tháng can thiệp ở trẻ suy dinh dưỡng thấp còi 1- 3 tuổi.</w:t>
      </w:r>
      <w:bookmarkEnd w:id="101"/>
      <w:bookmarkEnd w:id="102"/>
      <w:bookmarkEnd w:id="103"/>
      <w:r w:rsidRPr="000E297F">
        <w:rPr>
          <w:bCs/>
          <w:iCs/>
          <w:sz w:val="22"/>
          <w:szCs w:val="22"/>
          <w:lang w:val="it-IT"/>
        </w:rPr>
        <w:t xml:space="preserve"> </w:t>
      </w:r>
    </w:p>
    <w:p w14:paraId="5603122A" w14:textId="77777777" w:rsidR="000E297F" w:rsidRPr="000E297F" w:rsidRDefault="000E297F" w:rsidP="00A1659D">
      <w:pPr>
        <w:tabs>
          <w:tab w:val="left" w:pos="426"/>
          <w:tab w:val="left" w:pos="851"/>
        </w:tabs>
        <w:spacing w:line="280" w:lineRule="exact"/>
        <w:ind w:firstLine="426"/>
        <w:jc w:val="both"/>
        <w:rPr>
          <w:b/>
          <w:bCs/>
          <w:iCs/>
          <w:sz w:val="22"/>
          <w:szCs w:val="22"/>
          <w:lang w:val="it-IT"/>
        </w:rPr>
      </w:pPr>
      <w:bookmarkStart w:id="104" w:name="_Toc107765695"/>
      <w:bookmarkStart w:id="105" w:name="_Toc118577336"/>
      <w:bookmarkStart w:id="106" w:name="_Toc118656388"/>
      <w:bookmarkStart w:id="107" w:name="_Toc132883783"/>
      <w:bookmarkStart w:id="108" w:name="_Toc132883949"/>
      <w:bookmarkStart w:id="109" w:name="_Toc132884323"/>
      <w:bookmarkStart w:id="110" w:name="_Toc132884405"/>
      <w:bookmarkStart w:id="111" w:name="_Toc132884569"/>
      <w:bookmarkStart w:id="112" w:name="_Toc132969789"/>
      <w:r w:rsidRPr="000E297F">
        <w:rPr>
          <w:b/>
          <w:bCs/>
          <w:iCs/>
          <w:sz w:val="22"/>
          <w:szCs w:val="22"/>
          <w:lang w:val="it-IT"/>
        </w:rPr>
        <w:t>4.2.7. Kết quả cải thiện tình trạng thiếu kẽm sau can thiệp</w:t>
      </w:r>
      <w:bookmarkEnd w:id="104"/>
      <w:bookmarkEnd w:id="105"/>
      <w:bookmarkEnd w:id="106"/>
      <w:bookmarkEnd w:id="107"/>
      <w:bookmarkEnd w:id="108"/>
      <w:bookmarkEnd w:id="109"/>
      <w:bookmarkEnd w:id="110"/>
      <w:bookmarkEnd w:id="111"/>
      <w:bookmarkEnd w:id="112"/>
    </w:p>
    <w:p w14:paraId="4EDCCBA5" w14:textId="77777777" w:rsidR="000E297F" w:rsidRPr="000E297F" w:rsidRDefault="000E297F" w:rsidP="00A1659D">
      <w:pPr>
        <w:tabs>
          <w:tab w:val="left" w:pos="426"/>
          <w:tab w:val="left" w:pos="851"/>
        </w:tabs>
        <w:spacing w:line="280" w:lineRule="exact"/>
        <w:ind w:firstLine="426"/>
        <w:jc w:val="both"/>
        <w:rPr>
          <w:bCs/>
          <w:iCs/>
          <w:sz w:val="22"/>
          <w:szCs w:val="22"/>
          <w:lang w:val="it-IT"/>
        </w:rPr>
      </w:pPr>
      <w:bookmarkStart w:id="113" w:name="_Toc107765696"/>
      <w:bookmarkStart w:id="114" w:name="_Toc118577337"/>
      <w:bookmarkStart w:id="115" w:name="_Toc118656389"/>
      <w:r w:rsidRPr="000E297F">
        <w:rPr>
          <w:bCs/>
          <w:iCs/>
          <w:sz w:val="22"/>
          <w:szCs w:val="22"/>
          <w:lang w:val="it-IT"/>
        </w:rPr>
        <w:t xml:space="preserve">Thay đổi nồng độ kẽm huyết thanh của đối tượng nghiên cứu sau 6 tháng can thiệp. Xem xét về sự thay đổi nồng độ kẽm huyết thanh trung bình cho thấy: cả 3 nhóm sau 6 tháng can thiệp nồng độ kẽm huyết thanh đề tăng cụ thể: Ở nhóm chứng sự thay đổi so với trước can thiệp tăng 0,32 ± 2,52; </w:t>
      </w:r>
      <w:bookmarkStart w:id="116" w:name="_Hlk107472935"/>
      <w:r w:rsidRPr="000E297F">
        <w:rPr>
          <w:bCs/>
          <w:iCs/>
          <w:sz w:val="22"/>
          <w:szCs w:val="22"/>
          <w:lang w:val="it-IT"/>
        </w:rPr>
        <w:t>Nhóm bổ sung kẽm thay đổi so với trước can thiệp tăng 1,38 ± 2,88</w:t>
      </w:r>
      <w:bookmarkEnd w:id="116"/>
      <w:r w:rsidRPr="000E297F">
        <w:rPr>
          <w:bCs/>
          <w:iCs/>
          <w:sz w:val="22"/>
          <w:szCs w:val="22"/>
          <w:lang w:val="it-IT"/>
        </w:rPr>
        <w:t xml:space="preserve">; Nhóm bổ sung sắt + kẽm thay đổi so với trước can thiệp tăng 1,31 ± 3,30.  So sánh giữa </w:t>
      </w:r>
      <w:r>
        <w:rPr>
          <w:bCs/>
          <w:iCs/>
          <w:sz w:val="22"/>
          <w:szCs w:val="22"/>
          <w:lang w:val="it-IT"/>
        </w:rPr>
        <w:t>n</w:t>
      </w:r>
      <w:r w:rsidRPr="000E297F">
        <w:rPr>
          <w:bCs/>
          <w:iCs/>
          <w:sz w:val="22"/>
          <w:szCs w:val="22"/>
          <w:lang w:val="it-IT"/>
        </w:rPr>
        <w:t xml:space="preserve">hóm bổ sung kẽm và nhóm chứng cho thấy nhóm bổ sung kẽm tăng cao hơn nhóm chứng 1,08 </w:t>
      </w:r>
      <w:r w:rsidRPr="000E297F">
        <w:rPr>
          <w:bCs/>
          <w:iCs/>
          <w:sz w:val="22"/>
          <w:szCs w:val="22"/>
        </w:rPr>
        <w:sym w:font="Symbol" w:char="F06D"/>
      </w:r>
      <w:r w:rsidRPr="000E297F">
        <w:rPr>
          <w:bCs/>
          <w:iCs/>
          <w:sz w:val="22"/>
          <w:szCs w:val="22"/>
          <w:lang w:val="it-IT"/>
        </w:rPr>
        <w:t xml:space="preserve">mol/L, Nhóm bổ sung sắt - kẽm và nhóm chứng cho thấy nhóm bổ sung sắt - kẽm tăng cao hơn nhóm chứng 0,99 </w:t>
      </w:r>
      <w:r w:rsidRPr="000E297F">
        <w:rPr>
          <w:bCs/>
          <w:iCs/>
          <w:sz w:val="22"/>
          <w:szCs w:val="22"/>
        </w:rPr>
        <w:sym w:font="Symbol" w:char="F06D"/>
      </w:r>
      <w:r w:rsidRPr="000E297F">
        <w:rPr>
          <w:bCs/>
          <w:iCs/>
          <w:sz w:val="22"/>
          <w:szCs w:val="22"/>
          <w:lang w:val="it-IT"/>
        </w:rPr>
        <w:t>mol/L. Kết quả tăng nồng độ kẽm huyết thanh nhóm bổ sung sắt - kẽm và nhóm bổ sung kẽm tăng tương đương nhau. Sự thay đổi trước và sau can thiệp ở 2 nhóm bổ sung kẽm và bổ sung sắt- kẽm có ý nghĩa thống kê (p&lt;0,05).</w:t>
      </w:r>
      <w:bookmarkEnd w:id="113"/>
      <w:bookmarkEnd w:id="114"/>
      <w:bookmarkEnd w:id="115"/>
    </w:p>
    <w:p w14:paraId="077D527C" w14:textId="77777777" w:rsidR="000E297F" w:rsidRDefault="000E297F" w:rsidP="00A1659D">
      <w:pPr>
        <w:tabs>
          <w:tab w:val="left" w:pos="426"/>
          <w:tab w:val="left" w:pos="851"/>
        </w:tabs>
        <w:spacing w:line="280" w:lineRule="exact"/>
        <w:ind w:firstLine="426"/>
        <w:jc w:val="both"/>
        <w:rPr>
          <w:bCs/>
          <w:iCs/>
          <w:sz w:val="22"/>
          <w:szCs w:val="22"/>
          <w:lang w:val="it-IT"/>
        </w:rPr>
      </w:pPr>
      <w:bookmarkStart w:id="117" w:name="_Toc107765697"/>
      <w:bookmarkStart w:id="118" w:name="_Toc118577338"/>
      <w:bookmarkStart w:id="119" w:name="_Toc118656390"/>
      <w:r w:rsidRPr="000E297F">
        <w:rPr>
          <w:bCs/>
          <w:iCs/>
          <w:sz w:val="22"/>
          <w:szCs w:val="22"/>
          <w:lang w:val="it-IT"/>
        </w:rPr>
        <w:t xml:space="preserve">So sánh tỷ lệ thiếu kẽm của đối tượng nghiên cứu sau 6 tháng can thiệp cho thấy,  sau can thiệp, thay đổi tỷ lệ thiếu kẽm ở nhóm chứng  </w:t>
      </w:r>
      <w:r w:rsidRPr="000E297F">
        <w:rPr>
          <w:bCs/>
          <w:iCs/>
          <w:sz w:val="22"/>
          <w:szCs w:val="22"/>
          <w:lang w:val="it-IT"/>
        </w:rPr>
        <w:lastRenderedPageBreak/>
        <w:t>giảm 1,0%, nhóm bổ sung kẽm giảm 20,4%, và nhóm bổ sung sắt-kẽm giảm 21,7%. So sánh giảm tỷ lệ thiếu kẽm giữa nhóm bổ sung kẽm và nhóm chứng cho thấy: nhóm bổ sung kẽm giảm tỷ lệ thiếu kẽm nhiều hơn so với nhóm chứng 19,4%, so sánh nhóm bổ sung sắt - kẽm và nhóm chứng cho thấy: nhóm bổ sung sắt- kẽm giảm tỷ lệ thiếu kẽm nhiều hơn so với nhóm chứng 20,7%. So sánh hiệu quả giảm tỷ lệ thiếu kẽm Nhóm bổ sung sắt + kẽm cho thấy tỷ lệ thiếu kẽm ở nhóm bổ sung sắt - kẽm nhiều hơn. Sự thay đổi tỷ lệ thiếu kẽm trước và sau can thiệp ở cả 2 nhóm can thiệp đều có YNTK (p&lt; 0,05).</w:t>
      </w:r>
      <w:bookmarkEnd w:id="117"/>
      <w:bookmarkEnd w:id="118"/>
      <w:bookmarkEnd w:id="119"/>
    </w:p>
    <w:p w14:paraId="6DD214D8" w14:textId="77777777" w:rsidR="00240789" w:rsidRPr="000E297F" w:rsidRDefault="00240789" w:rsidP="00A1659D">
      <w:pPr>
        <w:tabs>
          <w:tab w:val="left" w:pos="426"/>
          <w:tab w:val="left" w:pos="851"/>
        </w:tabs>
        <w:spacing w:line="280" w:lineRule="exact"/>
        <w:ind w:firstLine="426"/>
        <w:jc w:val="both"/>
        <w:rPr>
          <w:bCs/>
          <w:iCs/>
          <w:sz w:val="22"/>
          <w:szCs w:val="22"/>
          <w:lang w:val="it-IT"/>
        </w:rPr>
      </w:pPr>
    </w:p>
    <w:p w14:paraId="2F768C58" w14:textId="77777777" w:rsidR="00D76450" w:rsidRPr="00C35DE0" w:rsidRDefault="00D76450" w:rsidP="000E2326">
      <w:pPr>
        <w:tabs>
          <w:tab w:val="left" w:pos="426"/>
          <w:tab w:val="left" w:pos="851"/>
        </w:tabs>
        <w:spacing w:before="240" w:after="60"/>
        <w:ind w:firstLine="426"/>
        <w:jc w:val="center"/>
        <w:rPr>
          <w:sz w:val="22"/>
          <w:szCs w:val="22"/>
          <w:lang w:val="pt-BR"/>
        </w:rPr>
      </w:pPr>
      <w:r w:rsidRPr="00820A4E">
        <w:rPr>
          <w:b/>
          <w:spacing w:val="-6"/>
          <w:sz w:val="22"/>
          <w:szCs w:val="22"/>
          <w:lang w:val="it-IT"/>
        </w:rPr>
        <w:t>KẾT LUẬN</w:t>
      </w:r>
      <w:bookmarkEnd w:id="7"/>
    </w:p>
    <w:p w14:paraId="71F2D8C4" w14:textId="77777777" w:rsidR="00B50AF6" w:rsidRPr="00C35DE0" w:rsidRDefault="00B50AF6" w:rsidP="00A1659D">
      <w:pPr>
        <w:spacing w:line="280" w:lineRule="exact"/>
        <w:ind w:firstLine="426"/>
        <w:jc w:val="both"/>
        <w:rPr>
          <w:rFonts w:eastAsia="Gulim"/>
          <w:b/>
          <w:bCs/>
          <w:spacing w:val="-6"/>
          <w:sz w:val="22"/>
          <w:szCs w:val="22"/>
          <w:lang w:val="pt-BR"/>
        </w:rPr>
      </w:pPr>
      <w:r w:rsidRPr="00C35DE0">
        <w:rPr>
          <w:rFonts w:eastAsia="Gulim"/>
          <w:b/>
          <w:bCs/>
          <w:spacing w:val="-6"/>
          <w:sz w:val="22"/>
          <w:szCs w:val="22"/>
          <w:lang w:val="pt-BR"/>
        </w:rPr>
        <w:t>1. Tình trạng nhẹ cân, gầy còm, thiếu máu, thiếu sắt, thiếu kẽm ở trẻ suy dinh dưỡng thể thấp còi 1-3 tuổi</w:t>
      </w:r>
    </w:p>
    <w:p w14:paraId="0C72DE61" w14:textId="77777777" w:rsidR="00B50AF6" w:rsidRPr="00C35DE0" w:rsidRDefault="00B50AF6" w:rsidP="00A1659D">
      <w:pPr>
        <w:spacing w:line="280" w:lineRule="exact"/>
        <w:ind w:firstLine="426"/>
        <w:jc w:val="both"/>
        <w:rPr>
          <w:rFonts w:eastAsia="Gulim"/>
          <w:bCs/>
          <w:spacing w:val="-6"/>
          <w:sz w:val="22"/>
          <w:szCs w:val="22"/>
          <w:lang w:val="pt-BR"/>
        </w:rPr>
      </w:pPr>
      <w:r w:rsidRPr="00C35DE0">
        <w:rPr>
          <w:rFonts w:eastAsia="Gulim"/>
          <w:bCs/>
          <w:spacing w:val="-6"/>
          <w:sz w:val="22"/>
          <w:szCs w:val="22"/>
          <w:lang w:val="pt-BR"/>
        </w:rPr>
        <w:t>- Tỷ lệ SDD thể nhẹ cân của đối tượng nghiên cứu là 50,6%, trong đó mức nặng là 6,8%, mức vừa là 43,8%.</w:t>
      </w:r>
    </w:p>
    <w:p w14:paraId="2DC9D66D" w14:textId="77777777" w:rsidR="00B50AF6" w:rsidRPr="00C35DE0" w:rsidRDefault="00B50AF6" w:rsidP="00A1659D">
      <w:pPr>
        <w:spacing w:line="280" w:lineRule="exact"/>
        <w:ind w:firstLine="426"/>
        <w:jc w:val="both"/>
        <w:rPr>
          <w:rFonts w:eastAsia="Gulim"/>
          <w:bCs/>
          <w:spacing w:val="-6"/>
          <w:sz w:val="22"/>
          <w:szCs w:val="22"/>
          <w:lang w:val="pt-BR"/>
        </w:rPr>
      </w:pPr>
      <w:r w:rsidRPr="00C35DE0">
        <w:rPr>
          <w:rFonts w:eastAsia="Gulim"/>
          <w:bCs/>
          <w:spacing w:val="-6"/>
          <w:sz w:val="22"/>
          <w:szCs w:val="22"/>
          <w:lang w:val="pt-BR"/>
        </w:rPr>
        <w:t>- Tỷ lệ SDD gày còm của đối tượng nghiên cứu là 8,5, mức vừa là 8,5%.</w:t>
      </w:r>
    </w:p>
    <w:p w14:paraId="3333ED5D" w14:textId="77777777" w:rsidR="00B50AF6" w:rsidRPr="00C35DE0" w:rsidRDefault="00B50AF6" w:rsidP="00A1659D">
      <w:pPr>
        <w:spacing w:line="280" w:lineRule="exact"/>
        <w:ind w:firstLine="426"/>
        <w:jc w:val="both"/>
        <w:rPr>
          <w:rFonts w:eastAsia="Gulim"/>
          <w:bCs/>
          <w:spacing w:val="-6"/>
          <w:sz w:val="22"/>
          <w:szCs w:val="22"/>
          <w:lang w:val="pt-BR"/>
        </w:rPr>
      </w:pPr>
      <w:r w:rsidRPr="00C35DE0">
        <w:rPr>
          <w:rFonts w:eastAsia="Gulim"/>
          <w:bCs/>
          <w:spacing w:val="-6"/>
          <w:sz w:val="22"/>
          <w:szCs w:val="22"/>
          <w:lang w:val="pt-BR"/>
        </w:rPr>
        <w:t>- Tỷ lệ thiếu máu của đối tượng nghiên cứu là 31,8%.</w:t>
      </w:r>
    </w:p>
    <w:p w14:paraId="6A25D37D" w14:textId="77777777" w:rsidR="00B50AF6" w:rsidRPr="00C35DE0" w:rsidRDefault="00B50AF6" w:rsidP="00A1659D">
      <w:pPr>
        <w:spacing w:line="280" w:lineRule="exact"/>
        <w:ind w:firstLine="426"/>
        <w:jc w:val="both"/>
        <w:rPr>
          <w:rFonts w:eastAsia="Gulim"/>
          <w:bCs/>
          <w:spacing w:val="-6"/>
          <w:sz w:val="22"/>
          <w:szCs w:val="22"/>
          <w:lang w:val="pt-BR"/>
        </w:rPr>
      </w:pPr>
      <w:r w:rsidRPr="00C35DE0">
        <w:rPr>
          <w:rFonts w:eastAsia="Gulim"/>
          <w:bCs/>
          <w:spacing w:val="-6"/>
          <w:sz w:val="22"/>
          <w:szCs w:val="22"/>
          <w:lang w:val="pt-BR"/>
        </w:rPr>
        <w:t>- Tỷ lệ thiếu sắt của đối tượng nghiên cứu là 24,4%,</w:t>
      </w:r>
    </w:p>
    <w:p w14:paraId="482F3FEC" w14:textId="77777777" w:rsidR="00B50AF6" w:rsidRPr="00C35DE0" w:rsidRDefault="00B50AF6" w:rsidP="00A1659D">
      <w:pPr>
        <w:spacing w:line="280" w:lineRule="exact"/>
        <w:ind w:firstLine="426"/>
        <w:jc w:val="both"/>
        <w:rPr>
          <w:rFonts w:eastAsia="Gulim"/>
          <w:bCs/>
          <w:spacing w:val="-6"/>
          <w:sz w:val="22"/>
          <w:szCs w:val="22"/>
          <w:lang w:val="pt-BR"/>
        </w:rPr>
      </w:pPr>
      <w:r w:rsidRPr="00C35DE0">
        <w:rPr>
          <w:rFonts w:eastAsia="Gulim"/>
          <w:bCs/>
          <w:spacing w:val="-6"/>
          <w:sz w:val="22"/>
          <w:szCs w:val="22"/>
          <w:lang w:val="pt-BR"/>
        </w:rPr>
        <w:t xml:space="preserve">- Tỷ lệ thiếu kẽm của đối tượng nghiên cứu là 65,3%. </w:t>
      </w:r>
    </w:p>
    <w:p w14:paraId="57B40E95" w14:textId="77777777" w:rsidR="00B50AF6" w:rsidRPr="00C35DE0" w:rsidRDefault="00B50AF6" w:rsidP="00A1659D">
      <w:pPr>
        <w:spacing w:line="280" w:lineRule="exact"/>
        <w:ind w:firstLine="426"/>
        <w:jc w:val="both"/>
        <w:rPr>
          <w:rFonts w:eastAsia="Gulim"/>
          <w:b/>
          <w:bCs/>
          <w:spacing w:val="-6"/>
          <w:sz w:val="22"/>
          <w:szCs w:val="22"/>
          <w:lang w:val="pt-BR"/>
        </w:rPr>
      </w:pPr>
      <w:r w:rsidRPr="00C35DE0">
        <w:rPr>
          <w:rFonts w:eastAsia="Gulim"/>
          <w:b/>
          <w:bCs/>
          <w:spacing w:val="-6"/>
          <w:sz w:val="22"/>
          <w:szCs w:val="22"/>
          <w:lang w:val="pt-BR"/>
        </w:rPr>
        <w:t>2. Kết quả của sử dụng sắt - kẽm phối hợp với sử dụng kẽm riêng rẽ ở của trẻ 1-3 tuổi suy dinh dưỡng thể thấp còi sau 6 tháng can thiệp.</w:t>
      </w:r>
    </w:p>
    <w:p w14:paraId="31A05FC4" w14:textId="77777777" w:rsidR="00B50AF6" w:rsidRPr="00C35DE0" w:rsidRDefault="00B50AF6" w:rsidP="00A1659D">
      <w:pPr>
        <w:spacing w:line="280" w:lineRule="exact"/>
        <w:ind w:firstLine="426"/>
        <w:jc w:val="both"/>
        <w:rPr>
          <w:rFonts w:eastAsia="Gulim"/>
          <w:b/>
          <w:bCs/>
          <w:i/>
          <w:spacing w:val="-6"/>
          <w:sz w:val="22"/>
          <w:szCs w:val="22"/>
          <w:lang w:val="pt-BR"/>
        </w:rPr>
      </w:pPr>
      <w:r w:rsidRPr="00C35DE0">
        <w:rPr>
          <w:rFonts w:eastAsia="Gulim"/>
          <w:b/>
          <w:bCs/>
          <w:i/>
          <w:spacing w:val="-6"/>
          <w:sz w:val="22"/>
          <w:szCs w:val="22"/>
          <w:lang w:val="pt-BR"/>
        </w:rPr>
        <w:t>Đối với cải thiện tình trạng suy dinh dưỡng thể thấp còi</w:t>
      </w:r>
    </w:p>
    <w:p w14:paraId="7086C2C8" w14:textId="77777777" w:rsidR="00B50AF6" w:rsidRPr="00C35DE0" w:rsidRDefault="00B50AF6" w:rsidP="00A1659D">
      <w:pPr>
        <w:spacing w:line="280" w:lineRule="exact"/>
        <w:ind w:firstLine="426"/>
        <w:jc w:val="both"/>
        <w:rPr>
          <w:rFonts w:eastAsia="Gulim"/>
          <w:bCs/>
          <w:spacing w:val="-6"/>
          <w:sz w:val="22"/>
          <w:szCs w:val="22"/>
          <w:lang w:val="pt-BR"/>
        </w:rPr>
      </w:pPr>
      <w:r w:rsidRPr="00C35DE0">
        <w:rPr>
          <w:rFonts w:eastAsia="Gulim"/>
          <w:bCs/>
          <w:spacing w:val="-6"/>
          <w:sz w:val="22"/>
          <w:szCs w:val="22"/>
          <w:lang w:val="pt-BR"/>
        </w:rPr>
        <w:t>Sau 6 tháng can thiệp, chỉ số HAZ ở cả 3 nhóm đều giảm so với trước can thiệp, chưa thấy có YNTK (p &gt; 0,05).</w:t>
      </w:r>
    </w:p>
    <w:p w14:paraId="7CEB7806" w14:textId="77777777" w:rsidR="00B50AF6" w:rsidRPr="00C35DE0" w:rsidRDefault="00B50AF6" w:rsidP="00A1659D">
      <w:pPr>
        <w:spacing w:line="280" w:lineRule="exact"/>
        <w:ind w:firstLine="426"/>
        <w:jc w:val="both"/>
        <w:rPr>
          <w:rFonts w:eastAsia="Gulim"/>
          <w:bCs/>
          <w:spacing w:val="-6"/>
          <w:sz w:val="22"/>
          <w:szCs w:val="22"/>
          <w:lang w:val="pt-BR"/>
        </w:rPr>
      </w:pPr>
      <w:r w:rsidRPr="00C35DE0">
        <w:rPr>
          <w:rFonts w:eastAsia="Gulim"/>
          <w:bCs/>
          <w:spacing w:val="-6"/>
          <w:sz w:val="22"/>
          <w:szCs w:val="22"/>
          <w:lang w:val="pt-BR"/>
        </w:rPr>
        <w:t>Có sự khác biệt YNTK về tỷ lệ SDD thấp còi giữa trước và sau can thiệp (p &lt; 0,01). Kết thúc can thiệp, tỷ lệ SDD thấp còi ở nhóm chứng giảm là 91,9%; ở nhóm bổ sung kẽm riêng rẽ là 84%, và nhóm bổ sung sắt - kẽm là 89,9%.</w:t>
      </w:r>
    </w:p>
    <w:p w14:paraId="70688AAB" w14:textId="77777777" w:rsidR="00B50AF6" w:rsidRPr="00C35DE0" w:rsidRDefault="00B50AF6" w:rsidP="00A1659D">
      <w:pPr>
        <w:spacing w:line="280" w:lineRule="exact"/>
        <w:ind w:firstLine="426"/>
        <w:jc w:val="both"/>
        <w:rPr>
          <w:rFonts w:eastAsia="Gulim"/>
          <w:b/>
          <w:bCs/>
          <w:i/>
          <w:spacing w:val="-6"/>
          <w:sz w:val="22"/>
          <w:szCs w:val="22"/>
          <w:lang w:val="pt-BR"/>
        </w:rPr>
      </w:pPr>
      <w:r w:rsidRPr="00C35DE0">
        <w:rPr>
          <w:rFonts w:eastAsia="Gulim"/>
          <w:b/>
          <w:bCs/>
          <w:i/>
          <w:spacing w:val="-6"/>
          <w:sz w:val="22"/>
          <w:szCs w:val="22"/>
          <w:lang w:val="pt-BR"/>
        </w:rPr>
        <w:t>Đối với cải thiện tình trạng suy dinh dưỡng thể nhẹ cân</w:t>
      </w:r>
    </w:p>
    <w:p w14:paraId="759CB223" w14:textId="77777777" w:rsidR="00B50AF6" w:rsidRPr="00C35DE0" w:rsidRDefault="00B50AF6" w:rsidP="00A1659D">
      <w:pPr>
        <w:spacing w:line="280" w:lineRule="exact"/>
        <w:ind w:firstLine="426"/>
        <w:jc w:val="both"/>
        <w:rPr>
          <w:rFonts w:eastAsia="Gulim"/>
          <w:bCs/>
          <w:spacing w:val="-6"/>
          <w:sz w:val="22"/>
          <w:szCs w:val="22"/>
          <w:lang w:val="pt-BR"/>
        </w:rPr>
      </w:pPr>
      <w:r w:rsidRPr="00C35DE0">
        <w:rPr>
          <w:rFonts w:eastAsia="Gulim"/>
          <w:bCs/>
          <w:spacing w:val="-6"/>
          <w:sz w:val="22"/>
          <w:szCs w:val="22"/>
          <w:lang w:val="pt-BR"/>
        </w:rPr>
        <w:lastRenderedPageBreak/>
        <w:t>Kết quả can thiệp thay đổi chỉ số WAZ nhóm bổ sung kẽm giảm - 0,42 ± 0,37; nhóm bổ sung sắt - kẽm giảm - 0,36 ± 0,30. Cao hơn nhóm chứng (giảm -0,32 ± 0,33); Sự thay đổi có YNTK (p&lt;0,05).</w:t>
      </w:r>
    </w:p>
    <w:p w14:paraId="176AD7D6" w14:textId="77777777" w:rsidR="00B50AF6" w:rsidRPr="00C35DE0" w:rsidRDefault="00B50AF6" w:rsidP="00A1659D">
      <w:pPr>
        <w:spacing w:line="280" w:lineRule="exact"/>
        <w:ind w:firstLine="426"/>
        <w:jc w:val="both"/>
        <w:rPr>
          <w:rFonts w:eastAsia="Gulim"/>
          <w:bCs/>
          <w:spacing w:val="-6"/>
          <w:sz w:val="22"/>
          <w:szCs w:val="22"/>
          <w:lang w:val="pt-BR"/>
        </w:rPr>
      </w:pPr>
      <w:r w:rsidRPr="00C35DE0">
        <w:rPr>
          <w:rFonts w:eastAsia="Gulim"/>
          <w:bCs/>
          <w:spacing w:val="-6"/>
          <w:sz w:val="22"/>
          <w:szCs w:val="22"/>
          <w:lang w:val="pt-BR"/>
        </w:rPr>
        <w:t xml:space="preserve">Kết quả thay đổi tỷ lệ suy dinh dưỡng thể nhẹ cân ở nhóm bổ sung kẽm giảm 21,3% cao hơn so với nhóm chứng giảm 19,2%; (p&lt;0,05). </w:t>
      </w:r>
    </w:p>
    <w:p w14:paraId="78E6EE9A" w14:textId="77777777" w:rsidR="00B50AF6" w:rsidRPr="00C35DE0" w:rsidRDefault="00B50AF6" w:rsidP="00A1659D">
      <w:pPr>
        <w:spacing w:line="280" w:lineRule="exact"/>
        <w:ind w:firstLine="426"/>
        <w:jc w:val="both"/>
        <w:rPr>
          <w:rFonts w:eastAsia="Gulim"/>
          <w:b/>
          <w:bCs/>
          <w:i/>
          <w:spacing w:val="-6"/>
          <w:sz w:val="22"/>
          <w:szCs w:val="22"/>
          <w:lang w:val="pt-BR"/>
        </w:rPr>
      </w:pPr>
      <w:r w:rsidRPr="00C35DE0">
        <w:rPr>
          <w:rFonts w:eastAsia="Gulim"/>
          <w:b/>
          <w:bCs/>
          <w:i/>
          <w:spacing w:val="-6"/>
          <w:sz w:val="22"/>
          <w:szCs w:val="22"/>
          <w:lang w:val="pt-BR"/>
        </w:rPr>
        <w:t xml:space="preserve">Đối với cải thiện tình trạng suy dinh dưỡng thể gầy còm </w:t>
      </w:r>
    </w:p>
    <w:p w14:paraId="4E5C7D2F" w14:textId="77777777" w:rsidR="00B50AF6" w:rsidRPr="00C35DE0" w:rsidRDefault="00B50AF6" w:rsidP="00A1659D">
      <w:pPr>
        <w:spacing w:line="280" w:lineRule="exact"/>
        <w:ind w:firstLine="426"/>
        <w:jc w:val="both"/>
        <w:rPr>
          <w:rFonts w:eastAsia="Gulim"/>
          <w:bCs/>
          <w:spacing w:val="-6"/>
          <w:sz w:val="22"/>
          <w:szCs w:val="22"/>
          <w:lang w:val="pt-BR"/>
        </w:rPr>
      </w:pPr>
      <w:r w:rsidRPr="00C35DE0">
        <w:rPr>
          <w:rFonts w:eastAsia="Gulim"/>
          <w:bCs/>
          <w:spacing w:val="-6"/>
          <w:sz w:val="22"/>
          <w:szCs w:val="22"/>
          <w:lang w:val="pt-BR"/>
        </w:rPr>
        <w:t>Sau 6 tháng can thiệp, chỉ số WHZ trung bình ở cả 3 nhóm đều giảm so với trước can thiệp (p&lt;0,05).</w:t>
      </w:r>
    </w:p>
    <w:p w14:paraId="4D3B5C00" w14:textId="77777777" w:rsidR="00B50AF6" w:rsidRPr="00C35DE0" w:rsidRDefault="00B50AF6" w:rsidP="00A1659D">
      <w:pPr>
        <w:spacing w:line="280" w:lineRule="exact"/>
        <w:ind w:firstLine="426"/>
        <w:jc w:val="both"/>
        <w:rPr>
          <w:rFonts w:eastAsia="Gulim"/>
          <w:bCs/>
          <w:spacing w:val="-6"/>
          <w:sz w:val="22"/>
          <w:szCs w:val="22"/>
          <w:lang w:val="pt-BR"/>
        </w:rPr>
      </w:pPr>
      <w:r w:rsidRPr="00C35DE0">
        <w:rPr>
          <w:rFonts w:eastAsia="Gulim"/>
          <w:bCs/>
          <w:spacing w:val="-6"/>
          <w:sz w:val="22"/>
          <w:szCs w:val="22"/>
          <w:lang w:val="pt-BR"/>
        </w:rPr>
        <w:t xml:space="preserve">Kết quả có sự thay đổi tỷ lệ SDD thể gầy còm sau 6 tháng can thiệp ở cả 3 nhóm.  Nhóm bổ sung kẽm có tỷ lệ mắc giảm nhiều hơn so với nhóm chứng (tương ứng 7,4% so với 5%), sự thay đổi có YNTK (p&lt;0,05). </w:t>
      </w:r>
    </w:p>
    <w:p w14:paraId="7945435D" w14:textId="77777777" w:rsidR="00B50AF6" w:rsidRPr="00C35DE0" w:rsidRDefault="00B50AF6" w:rsidP="00A1659D">
      <w:pPr>
        <w:spacing w:line="280" w:lineRule="exact"/>
        <w:ind w:firstLine="426"/>
        <w:jc w:val="both"/>
        <w:rPr>
          <w:rFonts w:eastAsia="Gulim"/>
          <w:b/>
          <w:bCs/>
          <w:i/>
          <w:spacing w:val="-6"/>
          <w:sz w:val="22"/>
          <w:szCs w:val="22"/>
          <w:lang w:val="pt-BR"/>
        </w:rPr>
      </w:pPr>
      <w:r w:rsidRPr="00C35DE0">
        <w:rPr>
          <w:rFonts w:eastAsia="Gulim"/>
          <w:b/>
          <w:bCs/>
          <w:i/>
          <w:spacing w:val="-6"/>
          <w:sz w:val="22"/>
          <w:szCs w:val="22"/>
          <w:lang w:val="pt-BR"/>
        </w:rPr>
        <w:t>Đối với cải thiện tình trạng thiếu máu.</w:t>
      </w:r>
    </w:p>
    <w:p w14:paraId="71363F0B" w14:textId="77777777" w:rsidR="00B50AF6" w:rsidRPr="00C35DE0" w:rsidRDefault="00B50AF6" w:rsidP="00A1659D">
      <w:pPr>
        <w:spacing w:line="280" w:lineRule="exact"/>
        <w:ind w:firstLine="426"/>
        <w:jc w:val="both"/>
        <w:rPr>
          <w:rFonts w:eastAsia="Gulim"/>
          <w:bCs/>
          <w:spacing w:val="-6"/>
          <w:sz w:val="22"/>
          <w:szCs w:val="22"/>
          <w:lang w:val="pt-BR"/>
        </w:rPr>
      </w:pPr>
      <w:r w:rsidRPr="00C35DE0">
        <w:rPr>
          <w:rFonts w:eastAsia="Gulim"/>
          <w:bCs/>
          <w:spacing w:val="-6"/>
          <w:sz w:val="22"/>
          <w:szCs w:val="22"/>
          <w:lang w:val="pt-BR"/>
        </w:rPr>
        <w:t>Sau can thiệp, nồng độ Hb tăng lên ở cả 3 nhóm. Nồng độ Hb ở nhóm bổ sung kẽm tăng trung bình 3,4 ± 13,6 g/L, cao hơn nhóm chứng: 3,2 ± 12,7 g/L (p&lt;0,05). Nồng độ Hb ở nhóm bổ sung sắt-kẽm tăng trung bình 2,6 ± 14,9 g/L (p=0,098).</w:t>
      </w:r>
    </w:p>
    <w:p w14:paraId="491D775E" w14:textId="77777777" w:rsidR="00B50AF6" w:rsidRPr="00C35DE0" w:rsidRDefault="00B50AF6" w:rsidP="00A1659D">
      <w:pPr>
        <w:spacing w:line="280" w:lineRule="exact"/>
        <w:ind w:firstLine="426"/>
        <w:jc w:val="both"/>
        <w:rPr>
          <w:rFonts w:eastAsia="Gulim"/>
          <w:bCs/>
          <w:spacing w:val="-6"/>
          <w:sz w:val="22"/>
          <w:szCs w:val="22"/>
          <w:lang w:val="pt-BR"/>
        </w:rPr>
      </w:pPr>
      <w:r w:rsidRPr="00C35DE0">
        <w:rPr>
          <w:rFonts w:eastAsia="Gulim"/>
          <w:bCs/>
          <w:spacing w:val="-6"/>
          <w:sz w:val="22"/>
          <w:szCs w:val="22"/>
          <w:lang w:val="pt-BR"/>
        </w:rPr>
        <w:t>Sau can thiệp, tỷ lệ thiếu máu ở nhóm bổ sung kẽm giảm 5,4%, nhóm bổ sung sắt-kẽm giảm 6,2%. Tỷ lệ thiếu máu ở nhóm chứng tăng 3%. Tuy nhiên mức tăng hay giảm tỷ lệ thiếu máu chưa có YNTK (p &gt; 0,05).</w:t>
      </w:r>
    </w:p>
    <w:p w14:paraId="0A791A0F" w14:textId="77777777" w:rsidR="00B50AF6" w:rsidRPr="00C35DE0" w:rsidRDefault="00B50AF6" w:rsidP="00A1659D">
      <w:pPr>
        <w:spacing w:line="280" w:lineRule="exact"/>
        <w:ind w:firstLine="426"/>
        <w:jc w:val="both"/>
        <w:rPr>
          <w:rFonts w:eastAsia="Gulim"/>
          <w:b/>
          <w:bCs/>
          <w:i/>
          <w:spacing w:val="-6"/>
          <w:sz w:val="22"/>
          <w:szCs w:val="22"/>
          <w:lang w:val="pt-BR"/>
        </w:rPr>
      </w:pPr>
      <w:r w:rsidRPr="00C35DE0">
        <w:rPr>
          <w:rFonts w:eastAsia="Gulim"/>
          <w:b/>
          <w:bCs/>
          <w:i/>
          <w:spacing w:val="-6"/>
          <w:sz w:val="22"/>
          <w:szCs w:val="22"/>
          <w:lang w:val="pt-BR"/>
        </w:rPr>
        <w:t>Đối với cải thiện tình trạng thiếu sắt sau can thiệp</w:t>
      </w:r>
    </w:p>
    <w:p w14:paraId="62E95ACF" w14:textId="77777777" w:rsidR="00B50AF6" w:rsidRPr="00C35DE0" w:rsidRDefault="00B50AF6" w:rsidP="00A1659D">
      <w:pPr>
        <w:spacing w:line="280" w:lineRule="exact"/>
        <w:ind w:firstLine="426"/>
        <w:jc w:val="both"/>
        <w:rPr>
          <w:rFonts w:eastAsia="Gulim"/>
          <w:bCs/>
          <w:spacing w:val="-6"/>
          <w:sz w:val="22"/>
          <w:szCs w:val="22"/>
          <w:lang w:val="pt-BR"/>
        </w:rPr>
      </w:pPr>
      <w:r w:rsidRPr="00C35DE0">
        <w:rPr>
          <w:rFonts w:eastAsia="Gulim"/>
          <w:bCs/>
          <w:spacing w:val="-6"/>
          <w:sz w:val="22"/>
          <w:szCs w:val="22"/>
          <w:lang w:val="pt-BR"/>
        </w:rPr>
        <w:t>Kết quả thay đổi nồng độ Ferritin huyết thanh trung bình của đối tượng nghiên cứu: Nhóm bổ sung sắt - kẽm tăng 24,5 ± 37,9 μg/L, cao hơn so với nhóm chứng 16,1 ± 31,3 μg/L; Nhóm bổ sung kẽm tăng 9,4 ± 24,6 μg/L. Sự thay có YNTK (p&lt;0,05).</w:t>
      </w:r>
    </w:p>
    <w:p w14:paraId="2D4D9B3B" w14:textId="77777777" w:rsidR="00B50AF6" w:rsidRPr="00C35DE0" w:rsidRDefault="00B50AF6" w:rsidP="00A1659D">
      <w:pPr>
        <w:spacing w:line="280" w:lineRule="exact"/>
        <w:ind w:firstLine="426"/>
        <w:jc w:val="both"/>
        <w:rPr>
          <w:rFonts w:eastAsia="Gulim"/>
          <w:bCs/>
          <w:spacing w:val="-6"/>
          <w:sz w:val="22"/>
          <w:szCs w:val="22"/>
          <w:lang w:val="pt-BR"/>
        </w:rPr>
      </w:pPr>
      <w:r w:rsidRPr="00C35DE0">
        <w:rPr>
          <w:rFonts w:eastAsia="Gulim"/>
          <w:bCs/>
          <w:spacing w:val="-6"/>
          <w:sz w:val="22"/>
          <w:szCs w:val="22"/>
          <w:lang w:val="pt-BR"/>
        </w:rPr>
        <w:t>Kết quả thay đổi tỷ lệ thiếu sắt: ở nhóm chứng  giảm 16,2%, mức giảm ở nhóm bổ sung kẽm là 9,7%, và nhóm bổ sung sắt-kẽm giảm 16,4%. Sự thay đổi tỷ lệ thiếu sắt trước và sau can thiệp ở nhóm chứng và nhóm bổ sung sắt-kẽm có YNTK (p&lt; 0,05).</w:t>
      </w:r>
    </w:p>
    <w:p w14:paraId="1548ECB8" w14:textId="77777777" w:rsidR="00B50AF6" w:rsidRPr="00C35DE0" w:rsidRDefault="00B50AF6" w:rsidP="00A1659D">
      <w:pPr>
        <w:spacing w:line="280" w:lineRule="exact"/>
        <w:ind w:firstLine="426"/>
        <w:jc w:val="both"/>
        <w:rPr>
          <w:rFonts w:eastAsia="Gulim"/>
          <w:b/>
          <w:bCs/>
          <w:i/>
          <w:spacing w:val="-6"/>
          <w:sz w:val="22"/>
          <w:szCs w:val="22"/>
          <w:lang w:val="pt-BR"/>
        </w:rPr>
      </w:pPr>
      <w:r w:rsidRPr="00C35DE0">
        <w:rPr>
          <w:rFonts w:eastAsia="Gulim"/>
          <w:b/>
          <w:bCs/>
          <w:i/>
          <w:spacing w:val="-6"/>
          <w:sz w:val="22"/>
          <w:szCs w:val="22"/>
          <w:lang w:val="pt-BR"/>
        </w:rPr>
        <w:t>Đối với cải thiện tình trạng tình trạng thiếu kẽm sau can thiệp:</w:t>
      </w:r>
    </w:p>
    <w:p w14:paraId="29AE10DB" w14:textId="77777777" w:rsidR="00B50AF6" w:rsidRPr="00C35DE0" w:rsidRDefault="00B50AF6" w:rsidP="00A1659D">
      <w:pPr>
        <w:spacing w:line="280" w:lineRule="exact"/>
        <w:ind w:firstLine="426"/>
        <w:jc w:val="both"/>
        <w:rPr>
          <w:rFonts w:eastAsia="Gulim"/>
          <w:bCs/>
          <w:spacing w:val="-6"/>
          <w:sz w:val="22"/>
          <w:szCs w:val="22"/>
          <w:lang w:val="pt-BR"/>
        </w:rPr>
      </w:pPr>
      <w:r w:rsidRPr="00C35DE0">
        <w:rPr>
          <w:rFonts w:eastAsia="Gulim"/>
          <w:bCs/>
          <w:spacing w:val="-6"/>
          <w:sz w:val="22"/>
          <w:szCs w:val="22"/>
          <w:lang w:val="pt-BR"/>
        </w:rPr>
        <w:t>Kết quả thay đổi nồng độ kẽm huyết thanh của đối tượng nghiên cứu: Nhóm bổ sung kẽm tăng 1,38 ± 2,88; Nhóm bổ sung sắt - kẽm tăng 1,31 ± 3,30; nhóm chứng tăng 0,32 ± 2,52. Sự thay đổi có YNTK (p&lt;0,05).</w:t>
      </w:r>
    </w:p>
    <w:p w14:paraId="15C97C60" w14:textId="77777777" w:rsidR="00B50AF6" w:rsidRPr="00C35DE0" w:rsidRDefault="00B50AF6" w:rsidP="00A1659D">
      <w:pPr>
        <w:spacing w:line="280" w:lineRule="exact"/>
        <w:ind w:firstLine="426"/>
        <w:jc w:val="both"/>
        <w:rPr>
          <w:rFonts w:eastAsia="Gulim"/>
          <w:bCs/>
          <w:spacing w:val="-6"/>
          <w:sz w:val="22"/>
          <w:szCs w:val="22"/>
          <w:lang w:val="pt-BR"/>
        </w:rPr>
      </w:pPr>
      <w:r w:rsidRPr="00C35DE0">
        <w:rPr>
          <w:rFonts w:eastAsia="Gulim"/>
          <w:bCs/>
          <w:spacing w:val="-6"/>
          <w:sz w:val="22"/>
          <w:szCs w:val="22"/>
          <w:lang w:val="pt-BR"/>
        </w:rPr>
        <w:lastRenderedPageBreak/>
        <w:t>Kết quả thay đổi tỷ lệ thiếu kẽm của đối tượng nghiên cứu: ở nhóm chứng giảm 1,0%, nhóm bổ sung kẽm giảm 20,4%, và nhóm bổ sung sắt-kẽm giảm 21,7%. Sự thay đổi YNTK giữa tỷ lệ thiếu kẽm trước và sau can thiệp ở nhóm bổ sung kẽm riêng rẽ và nhóm bổ sung sắt-kẽm (p&lt; 0,05).</w:t>
      </w:r>
    </w:p>
    <w:p w14:paraId="6DB5280B" w14:textId="77777777" w:rsidR="00B50AF6" w:rsidRPr="00C35DE0" w:rsidRDefault="00B50AF6" w:rsidP="00A1659D">
      <w:pPr>
        <w:spacing w:line="280" w:lineRule="exact"/>
        <w:ind w:firstLine="426"/>
        <w:jc w:val="both"/>
        <w:rPr>
          <w:rFonts w:eastAsia="Gulim"/>
          <w:bCs/>
          <w:spacing w:val="-6"/>
          <w:sz w:val="22"/>
          <w:szCs w:val="22"/>
          <w:lang w:val="pt-BR"/>
        </w:rPr>
      </w:pPr>
      <w:r w:rsidRPr="00C35DE0">
        <w:rPr>
          <w:rFonts w:eastAsia="Gulim"/>
          <w:bCs/>
          <w:spacing w:val="-6"/>
          <w:sz w:val="22"/>
          <w:szCs w:val="22"/>
          <w:lang w:val="pt-BR"/>
        </w:rPr>
        <w:t>Chỉ số hiệu quả cho thấy, can thiệp bổ sung sắt + kẽm phối hợp giảm nguy cơ tuyệt đối với thiếu kẽm là 18,3% và can thiệp bổ sung sắt+kẽm cho 5 trẻ em thiếu kẽm sẻ giảm một trẻ thiếu kẽm (NNT = 5,46).</w:t>
      </w:r>
    </w:p>
    <w:p w14:paraId="59CE1E8A" w14:textId="77777777" w:rsidR="00D76450" w:rsidRPr="00C35DE0" w:rsidRDefault="00D92BCD" w:rsidP="00B56CC9">
      <w:pPr>
        <w:spacing w:before="240" w:after="60"/>
        <w:jc w:val="center"/>
        <w:rPr>
          <w:rFonts w:eastAsia="Gulim"/>
          <w:b/>
          <w:bCs/>
          <w:spacing w:val="-6"/>
          <w:sz w:val="22"/>
          <w:szCs w:val="22"/>
          <w:lang w:val="pt-BR"/>
        </w:rPr>
      </w:pPr>
      <w:r w:rsidRPr="00C35DE0">
        <w:rPr>
          <w:rFonts w:eastAsia="Gulim"/>
          <w:b/>
          <w:bCs/>
          <w:spacing w:val="-6"/>
          <w:sz w:val="22"/>
          <w:szCs w:val="22"/>
          <w:lang w:val="pt-BR"/>
        </w:rPr>
        <w:t xml:space="preserve">KHUYẾN </w:t>
      </w:r>
      <w:r w:rsidR="00D76450" w:rsidRPr="00C35DE0">
        <w:rPr>
          <w:rFonts w:eastAsia="Gulim"/>
          <w:b/>
          <w:bCs/>
          <w:spacing w:val="-6"/>
          <w:sz w:val="22"/>
          <w:szCs w:val="22"/>
          <w:lang w:val="pt-BR"/>
        </w:rPr>
        <w:t>NGHỊ</w:t>
      </w:r>
    </w:p>
    <w:p w14:paraId="53766761" w14:textId="77777777" w:rsidR="00D92BCD" w:rsidRPr="00261E98" w:rsidRDefault="00D92BCD" w:rsidP="00A1659D">
      <w:pPr>
        <w:pStyle w:val="ListParagraph"/>
        <w:spacing w:before="120" w:after="120"/>
        <w:ind w:left="0" w:firstLine="426"/>
        <w:jc w:val="both"/>
        <w:rPr>
          <w:rFonts w:eastAsia="Gulim"/>
          <w:bCs/>
          <w:spacing w:val="-6"/>
          <w:sz w:val="22"/>
          <w:szCs w:val="22"/>
          <w:lang w:val="pt-BR"/>
        </w:rPr>
      </w:pPr>
      <w:r w:rsidRPr="00261E98">
        <w:rPr>
          <w:rFonts w:eastAsia="Gulim"/>
          <w:bCs/>
          <w:spacing w:val="-6"/>
          <w:sz w:val="22"/>
          <w:szCs w:val="22"/>
          <w:lang w:val="pt-BR"/>
        </w:rPr>
        <w:t xml:space="preserve">Nên bổ sung sắt - kẽm trên của trẻ 1-3 tuổi suy dinh dưỡng thể thấp còi trên địa bàn các xã khó khăn có tỷ lệ suy dinh dưỡng thấp còi cao ở các tỉnh Hà Nam, Phú Thọ và Vĩnh Phúc với mục tiêu cải thiện tình trạng suy dinh dưỡng, thiếu máu, thiếu sắt và thiếu kẽm. </w:t>
      </w:r>
    </w:p>
    <w:p w14:paraId="0068C684" w14:textId="77777777" w:rsidR="00D92BCD" w:rsidRPr="00D63706" w:rsidRDefault="00D92BCD" w:rsidP="00D63706">
      <w:pPr>
        <w:spacing w:before="120" w:after="120"/>
        <w:ind w:firstLine="426"/>
        <w:jc w:val="both"/>
        <w:rPr>
          <w:rFonts w:eastAsia="Gulim"/>
          <w:bCs/>
          <w:spacing w:val="-6"/>
          <w:sz w:val="22"/>
          <w:szCs w:val="22"/>
          <w:lang w:val="pt-BR"/>
        </w:rPr>
      </w:pPr>
      <w:r w:rsidRPr="00D63706">
        <w:rPr>
          <w:rFonts w:eastAsia="Gulim"/>
          <w:bCs/>
          <w:spacing w:val="-6"/>
          <w:sz w:val="22"/>
          <w:szCs w:val="22"/>
          <w:lang w:val="pt-BR"/>
        </w:rPr>
        <w:t>Cần có thêm các nghiên cứu trên địa bàn rộng, trên trẻ SDD thấp còi ở lứa tuổi lớn hơn để có thể đánh giá kết quả bổ sung sắt - kẽm phối hợp hay kẽm riêng rẽ, nhằm đưa ra được các bằng chứng khoa học, góp phần đưa ra các giải pháp can thiệp phù hợp.</w:t>
      </w:r>
    </w:p>
    <w:p w14:paraId="4E945400" w14:textId="77777777" w:rsidR="00113D86" w:rsidRPr="00D63706" w:rsidRDefault="00D92BCD" w:rsidP="00D63706">
      <w:pPr>
        <w:spacing w:before="120" w:after="120"/>
        <w:ind w:firstLine="426"/>
        <w:jc w:val="both"/>
        <w:rPr>
          <w:rFonts w:eastAsia="Gulim"/>
          <w:bCs/>
          <w:spacing w:val="-6"/>
          <w:sz w:val="22"/>
          <w:szCs w:val="22"/>
          <w:lang w:val="pt-BR"/>
        </w:rPr>
      </w:pPr>
      <w:r w:rsidRPr="00D63706">
        <w:rPr>
          <w:rFonts w:eastAsia="Gulim"/>
          <w:bCs/>
          <w:spacing w:val="-6"/>
          <w:sz w:val="22"/>
          <w:szCs w:val="22"/>
          <w:lang w:val="pt-BR"/>
        </w:rPr>
        <w:t>Cần có thêm các nghiên cứu theo dõi, đánh giá hiệu quả trong thời gian 6, 12 và 24 tháng can thiệp, để có thể đánh giá đầy đủ hơn về kết quả tác động của bổ sung sắt - kẽm và bổ sung kẽm sau can thiệp trên của trẻ 1-3 tuổi suy dinh dưỡng thể thấp còi.</w:t>
      </w:r>
    </w:p>
    <w:sectPr w:rsidR="00113D86" w:rsidRPr="00D63706" w:rsidSect="00A1659D">
      <w:headerReference w:type="default" r:id="rId14"/>
      <w:footerReference w:type="default" r:id="rId15"/>
      <w:pgSz w:w="8391" w:h="11907" w:code="11"/>
      <w:pgMar w:top="1134" w:right="851" w:bottom="1134" w:left="141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3A88E" w14:textId="77777777" w:rsidR="00CD58C0" w:rsidRDefault="00CD58C0">
      <w:r>
        <w:separator/>
      </w:r>
    </w:p>
  </w:endnote>
  <w:endnote w:type="continuationSeparator" w:id="0">
    <w:p w14:paraId="39F734EC" w14:textId="77777777" w:rsidR="00CD58C0" w:rsidRDefault="00CD5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EEF9E" w14:textId="77777777" w:rsidR="00FE11E2" w:rsidRDefault="00FE11E2" w:rsidP="006561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4B68ED" w14:textId="77777777" w:rsidR="00FE11E2" w:rsidRDefault="00FE11E2" w:rsidP="00AE33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C6236" w14:textId="77777777" w:rsidR="00FE11E2" w:rsidRDefault="00FE11E2" w:rsidP="006561B1">
    <w:pPr>
      <w:pStyle w:val="Footer"/>
      <w:framePr w:wrap="around" w:vAnchor="text" w:hAnchor="margin" w:xAlign="right" w:y="1"/>
      <w:rPr>
        <w:rStyle w:val="PageNumber"/>
      </w:rPr>
    </w:pPr>
  </w:p>
  <w:p w14:paraId="3920786D" w14:textId="77777777" w:rsidR="00FE11E2" w:rsidRDefault="00FE11E2" w:rsidP="00AE339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7268A" w14:textId="77777777" w:rsidR="00FE11E2" w:rsidRPr="00CD3940" w:rsidRDefault="00FE11E2">
    <w:pPr>
      <w:pStyle w:val="Footer"/>
      <w:jc w:val="center"/>
      <w:rPr>
        <w:sz w:val="22"/>
        <w:szCs w:val="22"/>
      </w:rPr>
    </w:pPr>
  </w:p>
  <w:p w14:paraId="4BAE305C" w14:textId="77777777" w:rsidR="00FE11E2" w:rsidRDefault="00FE11E2" w:rsidP="00AE339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391F5" w14:textId="77777777" w:rsidR="00CD58C0" w:rsidRDefault="00CD58C0">
      <w:r>
        <w:separator/>
      </w:r>
    </w:p>
  </w:footnote>
  <w:footnote w:type="continuationSeparator" w:id="0">
    <w:p w14:paraId="3AACB00C" w14:textId="77777777" w:rsidR="00CD58C0" w:rsidRDefault="00CD5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81D9E" w14:textId="77777777" w:rsidR="00FE11E2" w:rsidRDefault="00FE11E2" w:rsidP="007B1A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E51FE6" w14:textId="77777777" w:rsidR="00FE11E2" w:rsidRDefault="00FE11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AC8EB" w14:textId="77777777" w:rsidR="00FE11E2" w:rsidRDefault="00FE11E2" w:rsidP="007E34A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55C83" w14:textId="77777777" w:rsidR="00FE11E2" w:rsidRDefault="00FE11E2" w:rsidP="007E34A8">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350380"/>
      <w:docPartObj>
        <w:docPartGallery w:val="Page Numbers (Top of Page)"/>
        <w:docPartUnique/>
      </w:docPartObj>
    </w:sdtPr>
    <w:sdtEndPr>
      <w:rPr>
        <w:noProof/>
      </w:rPr>
    </w:sdtEndPr>
    <w:sdtContent>
      <w:p w14:paraId="698C8C7E" w14:textId="77777777" w:rsidR="00FE11E2" w:rsidRDefault="00FE11E2">
        <w:pPr>
          <w:pStyle w:val="Header"/>
          <w:jc w:val="center"/>
        </w:pPr>
        <w:r>
          <w:fldChar w:fldCharType="begin"/>
        </w:r>
        <w:r>
          <w:instrText xml:space="preserve"> PAGE   \* MERGEFORMAT </w:instrText>
        </w:r>
        <w:r>
          <w:fldChar w:fldCharType="separate"/>
        </w:r>
        <w:r w:rsidR="00F45184">
          <w:rPr>
            <w:noProof/>
          </w:rPr>
          <w:t>7</w:t>
        </w:r>
        <w:r>
          <w:rPr>
            <w:noProof/>
          </w:rPr>
          <w:fldChar w:fldCharType="end"/>
        </w:r>
      </w:p>
    </w:sdtContent>
  </w:sdt>
  <w:p w14:paraId="4FF69A16" w14:textId="77777777" w:rsidR="00FE11E2" w:rsidRDefault="00FE11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523F7"/>
    <w:multiLevelType w:val="hybridMultilevel"/>
    <w:tmpl w:val="C390F4C6"/>
    <w:lvl w:ilvl="0" w:tplc="C346EB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6711E"/>
    <w:multiLevelType w:val="multilevel"/>
    <w:tmpl w:val="F58A367C"/>
    <w:lvl w:ilvl="0">
      <w:start w:val="1"/>
      <w:numFmt w:val="decimal"/>
      <w:lvlText w:val="%1."/>
      <w:lvlJc w:val="left"/>
      <w:pPr>
        <w:ind w:left="720" w:hanging="360"/>
      </w:pPr>
      <w:rPr>
        <w:rFonts w:hint="default"/>
      </w:rPr>
    </w:lvl>
    <w:lvl w:ilvl="1">
      <w:start w:val="4"/>
      <w:numFmt w:val="decimal"/>
      <w:isLgl/>
      <w:lvlText w:val="%1.%2."/>
      <w:lvlJc w:val="left"/>
      <w:pPr>
        <w:ind w:left="948" w:hanging="588"/>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5C208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177BF0"/>
    <w:multiLevelType w:val="hybridMultilevel"/>
    <w:tmpl w:val="109A42CC"/>
    <w:lvl w:ilvl="0" w:tplc="115AFFB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A22B9"/>
    <w:multiLevelType w:val="hybridMultilevel"/>
    <w:tmpl w:val="99967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841CD"/>
    <w:multiLevelType w:val="multilevel"/>
    <w:tmpl w:val="CE9CD9EA"/>
    <w:lvl w:ilvl="0">
      <w:start w:val="2"/>
      <w:numFmt w:val="none"/>
      <w:lvlText w:val="3."/>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3.%2.%3."/>
      <w:lvlJc w:val="left"/>
      <w:pPr>
        <w:ind w:left="1224" w:hanging="504"/>
      </w:pPr>
      <w:rPr>
        <w:rFonts w:hint="default"/>
      </w:rPr>
    </w:lvl>
    <w:lvl w:ilvl="3">
      <w:start w:val="1"/>
      <w:numFmt w:val="decimal"/>
      <w:lvlText w:val="%13.%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0C85D14"/>
    <w:multiLevelType w:val="multilevel"/>
    <w:tmpl w:val="8B92D218"/>
    <w:lvl w:ilvl="0">
      <w:start w:val="1"/>
      <w:numFmt w:val="decimal"/>
      <w:lvlText w:val="%1."/>
      <w:lvlJc w:val="left"/>
      <w:pPr>
        <w:ind w:left="720" w:hanging="360"/>
      </w:pPr>
    </w:lvl>
    <w:lvl w:ilvl="1">
      <w:start w:val="1"/>
      <w:numFmt w:val="decimal"/>
      <w:isLgl/>
      <w:lvlText w:val="%1.%2."/>
      <w:lvlJc w:val="left"/>
      <w:pPr>
        <w:ind w:left="924" w:hanging="564"/>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325021F"/>
    <w:multiLevelType w:val="hybridMultilevel"/>
    <w:tmpl w:val="1F50C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3B086C"/>
    <w:multiLevelType w:val="multilevel"/>
    <w:tmpl w:val="CE9CD9EA"/>
    <w:lvl w:ilvl="0">
      <w:start w:val="2"/>
      <w:numFmt w:val="none"/>
      <w:lvlText w:val="3."/>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3.%2.%3."/>
      <w:lvlJc w:val="left"/>
      <w:pPr>
        <w:ind w:left="1224" w:hanging="504"/>
      </w:pPr>
      <w:rPr>
        <w:rFonts w:hint="default"/>
      </w:rPr>
    </w:lvl>
    <w:lvl w:ilvl="3">
      <w:start w:val="1"/>
      <w:numFmt w:val="decimal"/>
      <w:lvlText w:val="%13.%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8DA7517"/>
    <w:multiLevelType w:val="multilevel"/>
    <w:tmpl w:val="CE9CD9EA"/>
    <w:lvl w:ilvl="0">
      <w:start w:val="2"/>
      <w:numFmt w:val="none"/>
      <w:lvlText w:val="3."/>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3.%2.%3."/>
      <w:lvlJc w:val="left"/>
      <w:pPr>
        <w:ind w:left="1224" w:hanging="504"/>
      </w:pPr>
      <w:rPr>
        <w:rFonts w:hint="default"/>
      </w:rPr>
    </w:lvl>
    <w:lvl w:ilvl="3">
      <w:start w:val="1"/>
      <w:numFmt w:val="decimal"/>
      <w:lvlText w:val="%13.%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CEB7190"/>
    <w:multiLevelType w:val="multilevel"/>
    <w:tmpl w:val="CE9CD9EA"/>
    <w:lvl w:ilvl="0">
      <w:start w:val="2"/>
      <w:numFmt w:val="none"/>
      <w:lvlText w:val="3."/>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3.%2.%3."/>
      <w:lvlJc w:val="left"/>
      <w:pPr>
        <w:ind w:left="1224" w:hanging="504"/>
      </w:pPr>
      <w:rPr>
        <w:rFonts w:hint="default"/>
      </w:rPr>
    </w:lvl>
    <w:lvl w:ilvl="3">
      <w:start w:val="1"/>
      <w:numFmt w:val="decimal"/>
      <w:lvlText w:val="%13.%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A0E723D"/>
    <w:multiLevelType w:val="multilevel"/>
    <w:tmpl w:val="CE9CD9EA"/>
    <w:lvl w:ilvl="0">
      <w:start w:val="2"/>
      <w:numFmt w:val="none"/>
      <w:lvlText w:val="3."/>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3.%2.%3."/>
      <w:lvlJc w:val="left"/>
      <w:pPr>
        <w:ind w:left="1224" w:hanging="504"/>
      </w:pPr>
      <w:rPr>
        <w:rFonts w:hint="default"/>
      </w:rPr>
    </w:lvl>
    <w:lvl w:ilvl="3">
      <w:start w:val="1"/>
      <w:numFmt w:val="decimal"/>
      <w:lvlText w:val="%13.%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B1010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C2E66C3"/>
    <w:multiLevelType w:val="hybridMultilevel"/>
    <w:tmpl w:val="03BCB098"/>
    <w:lvl w:ilvl="0" w:tplc="C9066466">
      <w:start w:val="1"/>
      <w:numFmt w:val="bullet"/>
      <w:lvlText w:val=""/>
      <w:lvlJc w:val="left"/>
      <w:pPr>
        <w:tabs>
          <w:tab w:val="num" w:pos="720"/>
        </w:tabs>
        <w:ind w:left="720" w:hanging="360"/>
      </w:pPr>
      <w:rPr>
        <w:rFonts w:ascii="Wingdings" w:hAnsi="Wingdings" w:hint="default"/>
      </w:rPr>
    </w:lvl>
    <w:lvl w:ilvl="1" w:tplc="3AE85E94">
      <w:numFmt w:val="bullet"/>
      <w:lvlText w:val="-"/>
      <w:lvlJc w:val="left"/>
      <w:pPr>
        <w:tabs>
          <w:tab w:val="num" w:pos="1440"/>
        </w:tabs>
        <w:ind w:left="1440" w:hanging="360"/>
      </w:pPr>
      <w:rPr>
        <w:rFonts w:ascii="Times New Roman" w:eastAsia="Times New Roman" w:hAnsi="Times New Roman" w:cs="Times New Roman" w:hint="default"/>
      </w:rPr>
    </w:lvl>
    <w:lvl w:ilvl="2" w:tplc="53D464EA" w:tentative="1">
      <w:start w:val="1"/>
      <w:numFmt w:val="bullet"/>
      <w:lvlText w:val=""/>
      <w:lvlJc w:val="left"/>
      <w:pPr>
        <w:tabs>
          <w:tab w:val="num" w:pos="2160"/>
        </w:tabs>
        <w:ind w:left="2160" w:hanging="360"/>
      </w:pPr>
      <w:rPr>
        <w:rFonts w:ascii="Wingdings" w:hAnsi="Wingdings" w:hint="default"/>
      </w:rPr>
    </w:lvl>
    <w:lvl w:ilvl="3" w:tplc="DC5A0910" w:tentative="1">
      <w:start w:val="1"/>
      <w:numFmt w:val="bullet"/>
      <w:lvlText w:val=""/>
      <w:lvlJc w:val="left"/>
      <w:pPr>
        <w:tabs>
          <w:tab w:val="num" w:pos="2880"/>
        </w:tabs>
        <w:ind w:left="2880" w:hanging="360"/>
      </w:pPr>
      <w:rPr>
        <w:rFonts w:ascii="Wingdings" w:hAnsi="Wingdings" w:hint="default"/>
      </w:rPr>
    </w:lvl>
    <w:lvl w:ilvl="4" w:tplc="0BE83F04" w:tentative="1">
      <w:start w:val="1"/>
      <w:numFmt w:val="bullet"/>
      <w:lvlText w:val=""/>
      <w:lvlJc w:val="left"/>
      <w:pPr>
        <w:tabs>
          <w:tab w:val="num" w:pos="3600"/>
        </w:tabs>
        <w:ind w:left="3600" w:hanging="360"/>
      </w:pPr>
      <w:rPr>
        <w:rFonts w:ascii="Wingdings" w:hAnsi="Wingdings" w:hint="default"/>
      </w:rPr>
    </w:lvl>
    <w:lvl w:ilvl="5" w:tplc="E3F82A0C" w:tentative="1">
      <w:start w:val="1"/>
      <w:numFmt w:val="bullet"/>
      <w:lvlText w:val=""/>
      <w:lvlJc w:val="left"/>
      <w:pPr>
        <w:tabs>
          <w:tab w:val="num" w:pos="4320"/>
        </w:tabs>
        <w:ind w:left="4320" w:hanging="360"/>
      </w:pPr>
      <w:rPr>
        <w:rFonts w:ascii="Wingdings" w:hAnsi="Wingdings" w:hint="default"/>
      </w:rPr>
    </w:lvl>
    <w:lvl w:ilvl="6" w:tplc="5DAC119C" w:tentative="1">
      <w:start w:val="1"/>
      <w:numFmt w:val="bullet"/>
      <w:lvlText w:val=""/>
      <w:lvlJc w:val="left"/>
      <w:pPr>
        <w:tabs>
          <w:tab w:val="num" w:pos="5040"/>
        </w:tabs>
        <w:ind w:left="5040" w:hanging="360"/>
      </w:pPr>
      <w:rPr>
        <w:rFonts w:ascii="Wingdings" w:hAnsi="Wingdings" w:hint="default"/>
      </w:rPr>
    </w:lvl>
    <w:lvl w:ilvl="7" w:tplc="CCA69C18" w:tentative="1">
      <w:start w:val="1"/>
      <w:numFmt w:val="bullet"/>
      <w:lvlText w:val=""/>
      <w:lvlJc w:val="left"/>
      <w:pPr>
        <w:tabs>
          <w:tab w:val="num" w:pos="5760"/>
        </w:tabs>
        <w:ind w:left="5760" w:hanging="360"/>
      </w:pPr>
      <w:rPr>
        <w:rFonts w:ascii="Wingdings" w:hAnsi="Wingdings" w:hint="default"/>
      </w:rPr>
    </w:lvl>
    <w:lvl w:ilvl="8" w:tplc="DB10A272" w:tentative="1">
      <w:start w:val="1"/>
      <w:numFmt w:val="bullet"/>
      <w:lvlText w:val=""/>
      <w:lvlJc w:val="left"/>
      <w:pPr>
        <w:tabs>
          <w:tab w:val="num" w:pos="6480"/>
        </w:tabs>
        <w:ind w:left="6480" w:hanging="360"/>
      </w:pPr>
      <w:rPr>
        <w:rFonts w:ascii="Wingdings" w:hAnsi="Wingdings" w:hint="default"/>
      </w:rPr>
    </w:lvl>
  </w:abstractNum>
  <w:abstractNum w:abstractNumId="14">
    <w:nsid w:val="3CD02E7D"/>
    <w:multiLevelType w:val="hybridMultilevel"/>
    <w:tmpl w:val="8ECA8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D20445"/>
    <w:multiLevelType w:val="hybridMultilevel"/>
    <w:tmpl w:val="DFD0AAC8"/>
    <w:lvl w:ilvl="0" w:tplc="C346EB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403154"/>
    <w:multiLevelType w:val="multilevel"/>
    <w:tmpl w:val="CE9CD9EA"/>
    <w:lvl w:ilvl="0">
      <w:start w:val="2"/>
      <w:numFmt w:val="none"/>
      <w:lvlText w:val="3."/>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3.%2.%3."/>
      <w:lvlJc w:val="left"/>
      <w:pPr>
        <w:ind w:left="1224" w:hanging="504"/>
      </w:pPr>
      <w:rPr>
        <w:rFonts w:hint="default"/>
      </w:rPr>
    </w:lvl>
    <w:lvl w:ilvl="3">
      <w:start w:val="1"/>
      <w:numFmt w:val="decimal"/>
      <w:lvlText w:val="%13.%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F9D1AD0"/>
    <w:multiLevelType w:val="hybridMultilevel"/>
    <w:tmpl w:val="BD969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850CCE"/>
    <w:multiLevelType w:val="hybridMultilevel"/>
    <w:tmpl w:val="2A321362"/>
    <w:lvl w:ilvl="0" w:tplc="6302AD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B617EE2"/>
    <w:multiLevelType w:val="hybridMultilevel"/>
    <w:tmpl w:val="E7D6AA5A"/>
    <w:lvl w:ilvl="0" w:tplc="107E2C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1539B7"/>
    <w:multiLevelType w:val="multilevel"/>
    <w:tmpl w:val="CE9CD9EA"/>
    <w:lvl w:ilvl="0">
      <w:start w:val="2"/>
      <w:numFmt w:val="none"/>
      <w:lvlText w:val="3."/>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3.%2.%3."/>
      <w:lvlJc w:val="left"/>
      <w:pPr>
        <w:ind w:left="1224" w:hanging="504"/>
      </w:pPr>
      <w:rPr>
        <w:rFonts w:hint="default"/>
      </w:rPr>
    </w:lvl>
    <w:lvl w:ilvl="3">
      <w:start w:val="1"/>
      <w:numFmt w:val="decimal"/>
      <w:lvlText w:val="%13.%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1252E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75119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B6328F3"/>
    <w:multiLevelType w:val="multilevel"/>
    <w:tmpl w:val="0409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D763685"/>
    <w:multiLevelType w:val="multilevel"/>
    <w:tmpl w:val="CE9CD9EA"/>
    <w:lvl w:ilvl="0">
      <w:start w:val="2"/>
      <w:numFmt w:val="none"/>
      <w:lvlText w:val="3."/>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3.%2.%3."/>
      <w:lvlJc w:val="left"/>
      <w:pPr>
        <w:ind w:left="1224" w:hanging="504"/>
      </w:pPr>
      <w:rPr>
        <w:rFonts w:hint="default"/>
      </w:rPr>
    </w:lvl>
    <w:lvl w:ilvl="3">
      <w:start w:val="1"/>
      <w:numFmt w:val="decimal"/>
      <w:lvlText w:val="%13.%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4991145"/>
    <w:multiLevelType w:val="hybridMultilevel"/>
    <w:tmpl w:val="8B3012EC"/>
    <w:lvl w:ilvl="0" w:tplc="1F66E54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2FA344E"/>
    <w:multiLevelType w:val="hybridMultilevel"/>
    <w:tmpl w:val="EC703838"/>
    <w:lvl w:ilvl="0" w:tplc="AE629CAC">
      <w:start w:val="5"/>
      <w:numFmt w:val="bullet"/>
      <w:lvlText w:val="-"/>
      <w:lvlJc w:val="left"/>
      <w:pPr>
        <w:ind w:left="1080" w:hanging="360"/>
      </w:pPr>
      <w:rPr>
        <w:rFonts w:ascii="Times New Roman" w:eastAsia="Times New Roman" w:hAnsi="Times New Roman" w:cs="Times New Roman" w:hint="default"/>
      </w:rPr>
    </w:lvl>
    <w:lvl w:ilvl="1" w:tplc="1F78BE2C">
      <w:numFmt w:val="bullet"/>
      <w:lvlText w:val="–"/>
      <w:lvlJc w:val="left"/>
      <w:pPr>
        <w:ind w:left="1980" w:hanging="540"/>
      </w:pPr>
      <w:rPr>
        <w:rFonts w:ascii="Times New Roman" w:eastAsia="Times New Roman" w:hAnsi="Times New Roman" w:cs="Times New Roman" w:hint="default"/>
      </w:rPr>
    </w:lvl>
    <w:lvl w:ilvl="2" w:tplc="16621474" w:tentative="1">
      <w:start w:val="1"/>
      <w:numFmt w:val="bullet"/>
      <w:lvlText w:val=""/>
      <w:lvlJc w:val="left"/>
      <w:pPr>
        <w:ind w:left="2520" w:hanging="360"/>
      </w:pPr>
      <w:rPr>
        <w:rFonts w:ascii="Wingdings" w:hAnsi="Wingdings" w:hint="default"/>
      </w:rPr>
    </w:lvl>
    <w:lvl w:ilvl="3" w:tplc="1D1033CA" w:tentative="1">
      <w:start w:val="1"/>
      <w:numFmt w:val="bullet"/>
      <w:lvlText w:val=""/>
      <w:lvlJc w:val="left"/>
      <w:pPr>
        <w:ind w:left="3240" w:hanging="360"/>
      </w:pPr>
      <w:rPr>
        <w:rFonts w:ascii="Symbol" w:hAnsi="Symbol" w:hint="default"/>
      </w:rPr>
    </w:lvl>
    <w:lvl w:ilvl="4" w:tplc="2E386A10" w:tentative="1">
      <w:start w:val="1"/>
      <w:numFmt w:val="bullet"/>
      <w:lvlText w:val="o"/>
      <w:lvlJc w:val="left"/>
      <w:pPr>
        <w:ind w:left="3960" w:hanging="360"/>
      </w:pPr>
      <w:rPr>
        <w:rFonts w:ascii="Courier New" w:hAnsi="Courier New" w:cs="Courier New" w:hint="default"/>
      </w:rPr>
    </w:lvl>
    <w:lvl w:ilvl="5" w:tplc="47528F60" w:tentative="1">
      <w:start w:val="1"/>
      <w:numFmt w:val="bullet"/>
      <w:lvlText w:val=""/>
      <w:lvlJc w:val="left"/>
      <w:pPr>
        <w:ind w:left="4680" w:hanging="360"/>
      </w:pPr>
      <w:rPr>
        <w:rFonts w:ascii="Wingdings" w:hAnsi="Wingdings" w:hint="default"/>
      </w:rPr>
    </w:lvl>
    <w:lvl w:ilvl="6" w:tplc="BF883DE0" w:tentative="1">
      <w:start w:val="1"/>
      <w:numFmt w:val="bullet"/>
      <w:lvlText w:val=""/>
      <w:lvlJc w:val="left"/>
      <w:pPr>
        <w:ind w:left="5400" w:hanging="360"/>
      </w:pPr>
      <w:rPr>
        <w:rFonts w:ascii="Symbol" w:hAnsi="Symbol" w:hint="default"/>
      </w:rPr>
    </w:lvl>
    <w:lvl w:ilvl="7" w:tplc="0D921914" w:tentative="1">
      <w:start w:val="1"/>
      <w:numFmt w:val="bullet"/>
      <w:lvlText w:val="o"/>
      <w:lvlJc w:val="left"/>
      <w:pPr>
        <w:ind w:left="6120" w:hanging="360"/>
      </w:pPr>
      <w:rPr>
        <w:rFonts w:ascii="Courier New" w:hAnsi="Courier New" w:cs="Courier New" w:hint="default"/>
      </w:rPr>
    </w:lvl>
    <w:lvl w:ilvl="8" w:tplc="5CD031D2" w:tentative="1">
      <w:start w:val="1"/>
      <w:numFmt w:val="bullet"/>
      <w:lvlText w:val=""/>
      <w:lvlJc w:val="left"/>
      <w:pPr>
        <w:ind w:left="6840" w:hanging="360"/>
      </w:pPr>
      <w:rPr>
        <w:rFonts w:ascii="Wingdings" w:hAnsi="Wingdings" w:hint="default"/>
      </w:rPr>
    </w:lvl>
  </w:abstractNum>
  <w:abstractNum w:abstractNumId="27">
    <w:nsid w:val="740F2DC3"/>
    <w:multiLevelType w:val="hybridMultilevel"/>
    <w:tmpl w:val="A4A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8"/>
  </w:num>
  <w:num w:numId="4">
    <w:abstractNumId w:val="26"/>
  </w:num>
  <w:num w:numId="5">
    <w:abstractNumId w:val="15"/>
  </w:num>
  <w:num w:numId="6">
    <w:abstractNumId w:val="17"/>
  </w:num>
  <w:num w:numId="7">
    <w:abstractNumId w:val="0"/>
  </w:num>
  <w:num w:numId="8">
    <w:abstractNumId w:val="1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7"/>
  </w:num>
  <w:num w:numId="12">
    <w:abstractNumId w:val="22"/>
  </w:num>
  <w:num w:numId="13">
    <w:abstractNumId w:val="12"/>
  </w:num>
  <w:num w:numId="14">
    <w:abstractNumId w:val="2"/>
  </w:num>
  <w:num w:numId="15">
    <w:abstractNumId w:val="3"/>
  </w:num>
  <w:num w:numId="16">
    <w:abstractNumId w:val="21"/>
  </w:num>
  <w:num w:numId="17">
    <w:abstractNumId w:val="23"/>
  </w:num>
  <w:num w:numId="18">
    <w:abstractNumId w:val="16"/>
  </w:num>
  <w:num w:numId="19">
    <w:abstractNumId w:val="20"/>
  </w:num>
  <w:num w:numId="20">
    <w:abstractNumId w:val="24"/>
  </w:num>
  <w:num w:numId="21">
    <w:abstractNumId w:val="8"/>
  </w:num>
  <w:num w:numId="22">
    <w:abstractNumId w:val="9"/>
  </w:num>
  <w:num w:numId="23">
    <w:abstractNumId w:val="11"/>
  </w:num>
  <w:num w:numId="24">
    <w:abstractNumId w:val="10"/>
  </w:num>
  <w:num w:numId="25">
    <w:abstractNumId w:val="5"/>
  </w:num>
  <w:num w:numId="26">
    <w:abstractNumId w:val="25"/>
  </w:num>
  <w:num w:numId="27">
    <w:abstractNumId w:val="14"/>
  </w:num>
  <w:num w:numId="28">
    <w:abstractNumId w:val="4"/>
  </w:num>
  <w:num w:numId="29">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DDC"/>
    <w:rsid w:val="0000425D"/>
    <w:rsid w:val="00005DB2"/>
    <w:rsid w:val="00005F0E"/>
    <w:rsid w:val="00010B8A"/>
    <w:rsid w:val="00014067"/>
    <w:rsid w:val="000230B9"/>
    <w:rsid w:val="00024262"/>
    <w:rsid w:val="0002602E"/>
    <w:rsid w:val="00026166"/>
    <w:rsid w:val="0003091E"/>
    <w:rsid w:val="00031B5F"/>
    <w:rsid w:val="0003254B"/>
    <w:rsid w:val="00033A80"/>
    <w:rsid w:val="00034351"/>
    <w:rsid w:val="00036240"/>
    <w:rsid w:val="000401C4"/>
    <w:rsid w:val="00040F12"/>
    <w:rsid w:val="00042B04"/>
    <w:rsid w:val="00044C9E"/>
    <w:rsid w:val="00044FA0"/>
    <w:rsid w:val="000453F8"/>
    <w:rsid w:val="00046F51"/>
    <w:rsid w:val="000516B8"/>
    <w:rsid w:val="00051941"/>
    <w:rsid w:val="00057103"/>
    <w:rsid w:val="000606E3"/>
    <w:rsid w:val="00063538"/>
    <w:rsid w:val="00064668"/>
    <w:rsid w:val="00071C6C"/>
    <w:rsid w:val="000770BF"/>
    <w:rsid w:val="000803B1"/>
    <w:rsid w:val="00082453"/>
    <w:rsid w:val="00086274"/>
    <w:rsid w:val="00087EA4"/>
    <w:rsid w:val="00092DFB"/>
    <w:rsid w:val="00093714"/>
    <w:rsid w:val="000A10BA"/>
    <w:rsid w:val="000A1392"/>
    <w:rsid w:val="000A1A58"/>
    <w:rsid w:val="000A41BD"/>
    <w:rsid w:val="000A5918"/>
    <w:rsid w:val="000A662A"/>
    <w:rsid w:val="000B2F26"/>
    <w:rsid w:val="000B6D34"/>
    <w:rsid w:val="000C3690"/>
    <w:rsid w:val="000C60D8"/>
    <w:rsid w:val="000C64BA"/>
    <w:rsid w:val="000D0A6B"/>
    <w:rsid w:val="000D6D71"/>
    <w:rsid w:val="000D7857"/>
    <w:rsid w:val="000E2326"/>
    <w:rsid w:val="000E265E"/>
    <w:rsid w:val="000E297F"/>
    <w:rsid w:val="000E3858"/>
    <w:rsid w:val="000E561C"/>
    <w:rsid w:val="000E621C"/>
    <w:rsid w:val="000E6721"/>
    <w:rsid w:val="000E6CB1"/>
    <w:rsid w:val="000E735F"/>
    <w:rsid w:val="000F0901"/>
    <w:rsid w:val="000F09E2"/>
    <w:rsid w:val="000F2468"/>
    <w:rsid w:val="000F3DE4"/>
    <w:rsid w:val="000F6E74"/>
    <w:rsid w:val="000F7EE6"/>
    <w:rsid w:val="001005D1"/>
    <w:rsid w:val="001032C4"/>
    <w:rsid w:val="00104FD9"/>
    <w:rsid w:val="00105334"/>
    <w:rsid w:val="001056DF"/>
    <w:rsid w:val="00106135"/>
    <w:rsid w:val="00106C10"/>
    <w:rsid w:val="00107D64"/>
    <w:rsid w:val="00107E8C"/>
    <w:rsid w:val="00113D86"/>
    <w:rsid w:val="00121493"/>
    <w:rsid w:val="00134854"/>
    <w:rsid w:val="001370D7"/>
    <w:rsid w:val="00137861"/>
    <w:rsid w:val="0013798F"/>
    <w:rsid w:val="0014428D"/>
    <w:rsid w:val="0015422E"/>
    <w:rsid w:val="00154281"/>
    <w:rsid w:val="00164193"/>
    <w:rsid w:val="0016493D"/>
    <w:rsid w:val="00167DD7"/>
    <w:rsid w:val="00172903"/>
    <w:rsid w:val="00172C01"/>
    <w:rsid w:val="00177294"/>
    <w:rsid w:val="00181113"/>
    <w:rsid w:val="00181E3C"/>
    <w:rsid w:val="00185114"/>
    <w:rsid w:val="0018601B"/>
    <w:rsid w:val="001860C0"/>
    <w:rsid w:val="00187867"/>
    <w:rsid w:val="0019291D"/>
    <w:rsid w:val="001953A6"/>
    <w:rsid w:val="0019623E"/>
    <w:rsid w:val="0019658E"/>
    <w:rsid w:val="00197D3B"/>
    <w:rsid w:val="001A0DB4"/>
    <w:rsid w:val="001A219E"/>
    <w:rsid w:val="001B043C"/>
    <w:rsid w:val="001B09E3"/>
    <w:rsid w:val="001B22A7"/>
    <w:rsid w:val="001B3389"/>
    <w:rsid w:val="001C1F6B"/>
    <w:rsid w:val="001C3F1B"/>
    <w:rsid w:val="001C5C67"/>
    <w:rsid w:val="001D15D9"/>
    <w:rsid w:val="001D6B53"/>
    <w:rsid w:val="001D7B69"/>
    <w:rsid w:val="001E1A31"/>
    <w:rsid w:val="001E58DE"/>
    <w:rsid w:val="001E623D"/>
    <w:rsid w:val="001F19E8"/>
    <w:rsid w:val="001F2387"/>
    <w:rsid w:val="001F29DC"/>
    <w:rsid w:val="001F2B6B"/>
    <w:rsid w:val="001F3E3F"/>
    <w:rsid w:val="00200D3B"/>
    <w:rsid w:val="00201449"/>
    <w:rsid w:val="00201F30"/>
    <w:rsid w:val="0020218F"/>
    <w:rsid w:val="00204F7C"/>
    <w:rsid w:val="00220BD4"/>
    <w:rsid w:val="00221CFF"/>
    <w:rsid w:val="00224229"/>
    <w:rsid w:val="00225E4C"/>
    <w:rsid w:val="00226008"/>
    <w:rsid w:val="00226AF5"/>
    <w:rsid w:val="00232DA6"/>
    <w:rsid w:val="0023700F"/>
    <w:rsid w:val="00240789"/>
    <w:rsid w:val="00241749"/>
    <w:rsid w:val="002421C0"/>
    <w:rsid w:val="00243337"/>
    <w:rsid w:val="00243382"/>
    <w:rsid w:val="0025536D"/>
    <w:rsid w:val="0025576E"/>
    <w:rsid w:val="00255A2B"/>
    <w:rsid w:val="0025605A"/>
    <w:rsid w:val="002566D1"/>
    <w:rsid w:val="002575E9"/>
    <w:rsid w:val="00261E98"/>
    <w:rsid w:val="00263C6E"/>
    <w:rsid w:val="00266F95"/>
    <w:rsid w:val="00267EB9"/>
    <w:rsid w:val="00271347"/>
    <w:rsid w:val="00271EAA"/>
    <w:rsid w:val="00276891"/>
    <w:rsid w:val="002802AA"/>
    <w:rsid w:val="00282A22"/>
    <w:rsid w:val="00292DC3"/>
    <w:rsid w:val="00293ADE"/>
    <w:rsid w:val="00295DC0"/>
    <w:rsid w:val="002966AE"/>
    <w:rsid w:val="002A0E82"/>
    <w:rsid w:val="002A4F9F"/>
    <w:rsid w:val="002B25CD"/>
    <w:rsid w:val="002B6CD1"/>
    <w:rsid w:val="002D179F"/>
    <w:rsid w:val="002D19D2"/>
    <w:rsid w:val="002D2D0A"/>
    <w:rsid w:val="002D4E10"/>
    <w:rsid w:val="002D4E9E"/>
    <w:rsid w:val="002D5F24"/>
    <w:rsid w:val="002D7DD5"/>
    <w:rsid w:val="002E1762"/>
    <w:rsid w:val="002E234B"/>
    <w:rsid w:val="002E2A19"/>
    <w:rsid w:val="002E329C"/>
    <w:rsid w:val="002E4A9D"/>
    <w:rsid w:val="002F1274"/>
    <w:rsid w:val="002F32A6"/>
    <w:rsid w:val="002F40AE"/>
    <w:rsid w:val="002F46AE"/>
    <w:rsid w:val="002F4C6D"/>
    <w:rsid w:val="002F4E4E"/>
    <w:rsid w:val="002F613F"/>
    <w:rsid w:val="002F7C50"/>
    <w:rsid w:val="003027C9"/>
    <w:rsid w:val="00306E80"/>
    <w:rsid w:val="00307743"/>
    <w:rsid w:val="0031209C"/>
    <w:rsid w:val="00314BD2"/>
    <w:rsid w:val="00314E3C"/>
    <w:rsid w:val="00315163"/>
    <w:rsid w:val="00316157"/>
    <w:rsid w:val="0031620E"/>
    <w:rsid w:val="00316FE9"/>
    <w:rsid w:val="00317150"/>
    <w:rsid w:val="00321A00"/>
    <w:rsid w:val="00322E94"/>
    <w:rsid w:val="003266C1"/>
    <w:rsid w:val="003273AE"/>
    <w:rsid w:val="00331127"/>
    <w:rsid w:val="00335877"/>
    <w:rsid w:val="00337720"/>
    <w:rsid w:val="003401CE"/>
    <w:rsid w:val="0034311A"/>
    <w:rsid w:val="00343A47"/>
    <w:rsid w:val="003451A3"/>
    <w:rsid w:val="00347BA6"/>
    <w:rsid w:val="00353198"/>
    <w:rsid w:val="00362BEB"/>
    <w:rsid w:val="003654B7"/>
    <w:rsid w:val="00367DAF"/>
    <w:rsid w:val="0037334A"/>
    <w:rsid w:val="00376BD4"/>
    <w:rsid w:val="00381F56"/>
    <w:rsid w:val="00385995"/>
    <w:rsid w:val="003905A7"/>
    <w:rsid w:val="003906BC"/>
    <w:rsid w:val="00393F40"/>
    <w:rsid w:val="00394003"/>
    <w:rsid w:val="003942AD"/>
    <w:rsid w:val="0039475B"/>
    <w:rsid w:val="003953A7"/>
    <w:rsid w:val="00395B46"/>
    <w:rsid w:val="00395CCD"/>
    <w:rsid w:val="003A04DD"/>
    <w:rsid w:val="003A64D8"/>
    <w:rsid w:val="003B067A"/>
    <w:rsid w:val="003B0F26"/>
    <w:rsid w:val="003B5B01"/>
    <w:rsid w:val="003B5C06"/>
    <w:rsid w:val="003B631D"/>
    <w:rsid w:val="003C4637"/>
    <w:rsid w:val="003C5977"/>
    <w:rsid w:val="003D120A"/>
    <w:rsid w:val="003D2C36"/>
    <w:rsid w:val="003D6B8B"/>
    <w:rsid w:val="003E1973"/>
    <w:rsid w:val="003E480A"/>
    <w:rsid w:val="003E55AC"/>
    <w:rsid w:val="003E64BB"/>
    <w:rsid w:val="003E6B21"/>
    <w:rsid w:val="003E78ED"/>
    <w:rsid w:val="003F2B34"/>
    <w:rsid w:val="003F63F1"/>
    <w:rsid w:val="00400F99"/>
    <w:rsid w:val="00403DFD"/>
    <w:rsid w:val="00404DDD"/>
    <w:rsid w:val="00404DF3"/>
    <w:rsid w:val="00406BD5"/>
    <w:rsid w:val="00412078"/>
    <w:rsid w:val="004166CB"/>
    <w:rsid w:val="0041698D"/>
    <w:rsid w:val="00416A75"/>
    <w:rsid w:val="00417390"/>
    <w:rsid w:val="004219CC"/>
    <w:rsid w:val="00422943"/>
    <w:rsid w:val="00430199"/>
    <w:rsid w:val="0043177D"/>
    <w:rsid w:val="00433330"/>
    <w:rsid w:val="004333D4"/>
    <w:rsid w:val="00433755"/>
    <w:rsid w:val="00435DAF"/>
    <w:rsid w:val="00435F82"/>
    <w:rsid w:val="00437139"/>
    <w:rsid w:val="00441379"/>
    <w:rsid w:val="00445368"/>
    <w:rsid w:val="00454A0C"/>
    <w:rsid w:val="00454C67"/>
    <w:rsid w:val="0046459C"/>
    <w:rsid w:val="00470688"/>
    <w:rsid w:val="00475A24"/>
    <w:rsid w:val="00476690"/>
    <w:rsid w:val="00480D6D"/>
    <w:rsid w:val="00481B72"/>
    <w:rsid w:val="00482035"/>
    <w:rsid w:val="004862C3"/>
    <w:rsid w:val="0049230A"/>
    <w:rsid w:val="00493701"/>
    <w:rsid w:val="004939D6"/>
    <w:rsid w:val="00496083"/>
    <w:rsid w:val="004A0501"/>
    <w:rsid w:val="004A0B1F"/>
    <w:rsid w:val="004A5005"/>
    <w:rsid w:val="004B09B3"/>
    <w:rsid w:val="004B43D3"/>
    <w:rsid w:val="004B5317"/>
    <w:rsid w:val="004B66F9"/>
    <w:rsid w:val="004B78AD"/>
    <w:rsid w:val="004C235F"/>
    <w:rsid w:val="004C533E"/>
    <w:rsid w:val="004C61E7"/>
    <w:rsid w:val="004D0176"/>
    <w:rsid w:val="004D2C9F"/>
    <w:rsid w:val="004D512B"/>
    <w:rsid w:val="004D7246"/>
    <w:rsid w:val="004E172E"/>
    <w:rsid w:val="004E18D8"/>
    <w:rsid w:val="004E1966"/>
    <w:rsid w:val="004E3C88"/>
    <w:rsid w:val="004F2607"/>
    <w:rsid w:val="004F2C0E"/>
    <w:rsid w:val="004F7973"/>
    <w:rsid w:val="005010AC"/>
    <w:rsid w:val="00506FFB"/>
    <w:rsid w:val="005101A5"/>
    <w:rsid w:val="0051079F"/>
    <w:rsid w:val="00515B46"/>
    <w:rsid w:val="00516FD2"/>
    <w:rsid w:val="00521107"/>
    <w:rsid w:val="0052559C"/>
    <w:rsid w:val="00526959"/>
    <w:rsid w:val="005271FF"/>
    <w:rsid w:val="0052752D"/>
    <w:rsid w:val="00527A01"/>
    <w:rsid w:val="0053034A"/>
    <w:rsid w:val="0053172C"/>
    <w:rsid w:val="005318B3"/>
    <w:rsid w:val="00531A79"/>
    <w:rsid w:val="00532039"/>
    <w:rsid w:val="00533596"/>
    <w:rsid w:val="00534231"/>
    <w:rsid w:val="00534EE3"/>
    <w:rsid w:val="00535FDD"/>
    <w:rsid w:val="00537F17"/>
    <w:rsid w:val="005440A6"/>
    <w:rsid w:val="00545DE5"/>
    <w:rsid w:val="00547A8D"/>
    <w:rsid w:val="0056024A"/>
    <w:rsid w:val="00561803"/>
    <w:rsid w:val="005633D7"/>
    <w:rsid w:val="0056506D"/>
    <w:rsid w:val="00565080"/>
    <w:rsid w:val="0056510E"/>
    <w:rsid w:val="00573706"/>
    <w:rsid w:val="0058611F"/>
    <w:rsid w:val="00586A2B"/>
    <w:rsid w:val="00590A21"/>
    <w:rsid w:val="00592B6C"/>
    <w:rsid w:val="0059394C"/>
    <w:rsid w:val="00596D90"/>
    <w:rsid w:val="00596E5F"/>
    <w:rsid w:val="005A045E"/>
    <w:rsid w:val="005A4FC7"/>
    <w:rsid w:val="005A5D5C"/>
    <w:rsid w:val="005A611E"/>
    <w:rsid w:val="005B269D"/>
    <w:rsid w:val="005B305A"/>
    <w:rsid w:val="005B490D"/>
    <w:rsid w:val="005B536C"/>
    <w:rsid w:val="005B5FA6"/>
    <w:rsid w:val="005B7C12"/>
    <w:rsid w:val="005C3C1C"/>
    <w:rsid w:val="005C49FF"/>
    <w:rsid w:val="005C6F92"/>
    <w:rsid w:val="005C7363"/>
    <w:rsid w:val="005C77A7"/>
    <w:rsid w:val="005E19BA"/>
    <w:rsid w:val="005E3B0F"/>
    <w:rsid w:val="005E3CE1"/>
    <w:rsid w:val="005E3EAD"/>
    <w:rsid w:val="005E5F86"/>
    <w:rsid w:val="0060253B"/>
    <w:rsid w:val="00604ED6"/>
    <w:rsid w:val="00605089"/>
    <w:rsid w:val="00606D72"/>
    <w:rsid w:val="006150E8"/>
    <w:rsid w:val="00615EB7"/>
    <w:rsid w:val="00616665"/>
    <w:rsid w:val="00621E49"/>
    <w:rsid w:val="00622A0E"/>
    <w:rsid w:val="00622CF7"/>
    <w:rsid w:val="00625D0A"/>
    <w:rsid w:val="006330A7"/>
    <w:rsid w:val="00636717"/>
    <w:rsid w:val="00640C1A"/>
    <w:rsid w:val="006419B7"/>
    <w:rsid w:val="006445C6"/>
    <w:rsid w:val="006449E8"/>
    <w:rsid w:val="00644BEC"/>
    <w:rsid w:val="006514D3"/>
    <w:rsid w:val="00653400"/>
    <w:rsid w:val="006561B1"/>
    <w:rsid w:val="006573A5"/>
    <w:rsid w:val="00657C5A"/>
    <w:rsid w:val="0066159D"/>
    <w:rsid w:val="00661876"/>
    <w:rsid w:val="0066291A"/>
    <w:rsid w:val="00662F44"/>
    <w:rsid w:val="0066336A"/>
    <w:rsid w:val="006635B6"/>
    <w:rsid w:val="006638E3"/>
    <w:rsid w:val="00664B42"/>
    <w:rsid w:val="00670A1C"/>
    <w:rsid w:val="00674E33"/>
    <w:rsid w:val="00676523"/>
    <w:rsid w:val="00677150"/>
    <w:rsid w:val="00683223"/>
    <w:rsid w:val="006832BF"/>
    <w:rsid w:val="006838CD"/>
    <w:rsid w:val="0068742B"/>
    <w:rsid w:val="00691E32"/>
    <w:rsid w:val="00696651"/>
    <w:rsid w:val="00696BBE"/>
    <w:rsid w:val="006A14FF"/>
    <w:rsid w:val="006A4A36"/>
    <w:rsid w:val="006A4EDB"/>
    <w:rsid w:val="006A6FF1"/>
    <w:rsid w:val="006B31E8"/>
    <w:rsid w:val="006C0212"/>
    <w:rsid w:val="006D00DD"/>
    <w:rsid w:val="006D20C0"/>
    <w:rsid w:val="006D257D"/>
    <w:rsid w:val="006D2D85"/>
    <w:rsid w:val="006D3419"/>
    <w:rsid w:val="006D6421"/>
    <w:rsid w:val="006D71C5"/>
    <w:rsid w:val="006E3C08"/>
    <w:rsid w:val="006E5BED"/>
    <w:rsid w:val="006F506C"/>
    <w:rsid w:val="006F6A5B"/>
    <w:rsid w:val="006F7BD5"/>
    <w:rsid w:val="007006A5"/>
    <w:rsid w:val="00702B57"/>
    <w:rsid w:val="00704E3E"/>
    <w:rsid w:val="0070606D"/>
    <w:rsid w:val="00706D3C"/>
    <w:rsid w:val="00711290"/>
    <w:rsid w:val="00717B7D"/>
    <w:rsid w:val="0072311C"/>
    <w:rsid w:val="00725CFB"/>
    <w:rsid w:val="00726FC0"/>
    <w:rsid w:val="0073025D"/>
    <w:rsid w:val="0073094C"/>
    <w:rsid w:val="007353F2"/>
    <w:rsid w:val="00740E42"/>
    <w:rsid w:val="007465C7"/>
    <w:rsid w:val="00752B04"/>
    <w:rsid w:val="00754402"/>
    <w:rsid w:val="0076158A"/>
    <w:rsid w:val="0076190D"/>
    <w:rsid w:val="00761D8C"/>
    <w:rsid w:val="00764075"/>
    <w:rsid w:val="00764119"/>
    <w:rsid w:val="00764734"/>
    <w:rsid w:val="00765314"/>
    <w:rsid w:val="007678CB"/>
    <w:rsid w:val="00774972"/>
    <w:rsid w:val="00774D38"/>
    <w:rsid w:val="00775984"/>
    <w:rsid w:val="00785B21"/>
    <w:rsid w:val="00787953"/>
    <w:rsid w:val="00790AE4"/>
    <w:rsid w:val="0079253C"/>
    <w:rsid w:val="00795C04"/>
    <w:rsid w:val="00796C0F"/>
    <w:rsid w:val="00797D58"/>
    <w:rsid w:val="007A0F24"/>
    <w:rsid w:val="007A5E0E"/>
    <w:rsid w:val="007A5E1F"/>
    <w:rsid w:val="007A5F05"/>
    <w:rsid w:val="007A69B0"/>
    <w:rsid w:val="007B1A14"/>
    <w:rsid w:val="007B3BE3"/>
    <w:rsid w:val="007B405D"/>
    <w:rsid w:val="007B4414"/>
    <w:rsid w:val="007B60F6"/>
    <w:rsid w:val="007B6571"/>
    <w:rsid w:val="007B720E"/>
    <w:rsid w:val="007C091B"/>
    <w:rsid w:val="007C143E"/>
    <w:rsid w:val="007C1E48"/>
    <w:rsid w:val="007C2A99"/>
    <w:rsid w:val="007C3A55"/>
    <w:rsid w:val="007D20E6"/>
    <w:rsid w:val="007D4D1A"/>
    <w:rsid w:val="007E2026"/>
    <w:rsid w:val="007E34A8"/>
    <w:rsid w:val="007E4EC5"/>
    <w:rsid w:val="007E5117"/>
    <w:rsid w:val="007E5556"/>
    <w:rsid w:val="007F118A"/>
    <w:rsid w:val="007F3654"/>
    <w:rsid w:val="007F3E06"/>
    <w:rsid w:val="00802971"/>
    <w:rsid w:val="00802DCE"/>
    <w:rsid w:val="0080492D"/>
    <w:rsid w:val="00804EFF"/>
    <w:rsid w:val="0080606D"/>
    <w:rsid w:val="00820A4E"/>
    <w:rsid w:val="00821D76"/>
    <w:rsid w:val="00822240"/>
    <w:rsid w:val="00824B50"/>
    <w:rsid w:val="00824D4F"/>
    <w:rsid w:val="00826D09"/>
    <w:rsid w:val="008334D4"/>
    <w:rsid w:val="0083459F"/>
    <w:rsid w:val="00834E6A"/>
    <w:rsid w:val="00840DAC"/>
    <w:rsid w:val="00844B7F"/>
    <w:rsid w:val="00845724"/>
    <w:rsid w:val="00850621"/>
    <w:rsid w:val="00851AFC"/>
    <w:rsid w:val="00852354"/>
    <w:rsid w:val="00852542"/>
    <w:rsid w:val="008676D3"/>
    <w:rsid w:val="0087500F"/>
    <w:rsid w:val="00876181"/>
    <w:rsid w:val="00877DD7"/>
    <w:rsid w:val="00877EC5"/>
    <w:rsid w:val="00880BD2"/>
    <w:rsid w:val="0088168F"/>
    <w:rsid w:val="0088255E"/>
    <w:rsid w:val="00883897"/>
    <w:rsid w:val="00887108"/>
    <w:rsid w:val="008A1323"/>
    <w:rsid w:val="008A1D60"/>
    <w:rsid w:val="008A28F5"/>
    <w:rsid w:val="008A43B1"/>
    <w:rsid w:val="008A5358"/>
    <w:rsid w:val="008A72C6"/>
    <w:rsid w:val="008B2000"/>
    <w:rsid w:val="008B3529"/>
    <w:rsid w:val="008B5587"/>
    <w:rsid w:val="008B625E"/>
    <w:rsid w:val="008B7E80"/>
    <w:rsid w:val="008C187D"/>
    <w:rsid w:val="008C1D53"/>
    <w:rsid w:val="008C291F"/>
    <w:rsid w:val="008C299C"/>
    <w:rsid w:val="008C733D"/>
    <w:rsid w:val="008D276A"/>
    <w:rsid w:val="008D4648"/>
    <w:rsid w:val="008D4A62"/>
    <w:rsid w:val="008D6939"/>
    <w:rsid w:val="008D6C71"/>
    <w:rsid w:val="008D7424"/>
    <w:rsid w:val="008E06A4"/>
    <w:rsid w:val="008E168A"/>
    <w:rsid w:val="008E6829"/>
    <w:rsid w:val="008F3267"/>
    <w:rsid w:val="008F4849"/>
    <w:rsid w:val="00903429"/>
    <w:rsid w:val="00904040"/>
    <w:rsid w:val="0090432C"/>
    <w:rsid w:val="009053CE"/>
    <w:rsid w:val="0090552B"/>
    <w:rsid w:val="009065C4"/>
    <w:rsid w:val="0090742D"/>
    <w:rsid w:val="009107D3"/>
    <w:rsid w:val="009114DF"/>
    <w:rsid w:val="009141CC"/>
    <w:rsid w:val="0091767C"/>
    <w:rsid w:val="00920124"/>
    <w:rsid w:val="009256F3"/>
    <w:rsid w:val="00925DCE"/>
    <w:rsid w:val="0093407C"/>
    <w:rsid w:val="00934719"/>
    <w:rsid w:val="0093702C"/>
    <w:rsid w:val="00940D9E"/>
    <w:rsid w:val="0094164A"/>
    <w:rsid w:val="009429A1"/>
    <w:rsid w:val="00951A8E"/>
    <w:rsid w:val="009555EF"/>
    <w:rsid w:val="009556F6"/>
    <w:rsid w:val="00957029"/>
    <w:rsid w:val="00957830"/>
    <w:rsid w:val="00961938"/>
    <w:rsid w:val="00963604"/>
    <w:rsid w:val="0096591B"/>
    <w:rsid w:val="009701BD"/>
    <w:rsid w:val="009734ED"/>
    <w:rsid w:val="00976918"/>
    <w:rsid w:val="009771F7"/>
    <w:rsid w:val="00980134"/>
    <w:rsid w:val="0098169A"/>
    <w:rsid w:val="009834AF"/>
    <w:rsid w:val="00984A04"/>
    <w:rsid w:val="00984ED1"/>
    <w:rsid w:val="00985D74"/>
    <w:rsid w:val="00986D73"/>
    <w:rsid w:val="0098792D"/>
    <w:rsid w:val="00990C60"/>
    <w:rsid w:val="009965FB"/>
    <w:rsid w:val="009A2956"/>
    <w:rsid w:val="009A36C7"/>
    <w:rsid w:val="009B5EC2"/>
    <w:rsid w:val="009B7C7A"/>
    <w:rsid w:val="009C0376"/>
    <w:rsid w:val="009C34AA"/>
    <w:rsid w:val="009C360A"/>
    <w:rsid w:val="009C4EEB"/>
    <w:rsid w:val="009C4F79"/>
    <w:rsid w:val="009C5D0A"/>
    <w:rsid w:val="009D2CE9"/>
    <w:rsid w:val="009D33E5"/>
    <w:rsid w:val="009D3DFB"/>
    <w:rsid w:val="009D4ABF"/>
    <w:rsid w:val="009E2C5D"/>
    <w:rsid w:val="009F029F"/>
    <w:rsid w:val="009F3CFD"/>
    <w:rsid w:val="009F6113"/>
    <w:rsid w:val="009F7DB8"/>
    <w:rsid w:val="00A00FF9"/>
    <w:rsid w:val="00A03A14"/>
    <w:rsid w:val="00A06831"/>
    <w:rsid w:val="00A07A4F"/>
    <w:rsid w:val="00A1659D"/>
    <w:rsid w:val="00A20A89"/>
    <w:rsid w:val="00A248A8"/>
    <w:rsid w:val="00A254E8"/>
    <w:rsid w:val="00A26DDC"/>
    <w:rsid w:val="00A30269"/>
    <w:rsid w:val="00A3140E"/>
    <w:rsid w:val="00A336F3"/>
    <w:rsid w:val="00A36721"/>
    <w:rsid w:val="00A373A2"/>
    <w:rsid w:val="00A42116"/>
    <w:rsid w:val="00A431C3"/>
    <w:rsid w:val="00A46DC6"/>
    <w:rsid w:val="00A510FB"/>
    <w:rsid w:val="00A518EB"/>
    <w:rsid w:val="00A52764"/>
    <w:rsid w:val="00A55718"/>
    <w:rsid w:val="00A613E2"/>
    <w:rsid w:val="00A64E2C"/>
    <w:rsid w:val="00A70D34"/>
    <w:rsid w:val="00A711C3"/>
    <w:rsid w:val="00A72B35"/>
    <w:rsid w:val="00A732E5"/>
    <w:rsid w:val="00A73841"/>
    <w:rsid w:val="00A738E7"/>
    <w:rsid w:val="00A745C0"/>
    <w:rsid w:val="00A7786D"/>
    <w:rsid w:val="00A81C65"/>
    <w:rsid w:val="00A824E7"/>
    <w:rsid w:val="00A845A5"/>
    <w:rsid w:val="00A85457"/>
    <w:rsid w:val="00A9153F"/>
    <w:rsid w:val="00A930FD"/>
    <w:rsid w:val="00A9616D"/>
    <w:rsid w:val="00A97D81"/>
    <w:rsid w:val="00AA04B0"/>
    <w:rsid w:val="00AA5658"/>
    <w:rsid w:val="00AA7322"/>
    <w:rsid w:val="00AB5622"/>
    <w:rsid w:val="00AB64D5"/>
    <w:rsid w:val="00AB6F11"/>
    <w:rsid w:val="00AB74AA"/>
    <w:rsid w:val="00AC37D6"/>
    <w:rsid w:val="00AC39E5"/>
    <w:rsid w:val="00AD426C"/>
    <w:rsid w:val="00AD5D3C"/>
    <w:rsid w:val="00AD6A75"/>
    <w:rsid w:val="00AE0B9A"/>
    <w:rsid w:val="00AE308E"/>
    <w:rsid w:val="00AE339F"/>
    <w:rsid w:val="00AE671C"/>
    <w:rsid w:val="00AE7006"/>
    <w:rsid w:val="00AE7F56"/>
    <w:rsid w:val="00AF2E38"/>
    <w:rsid w:val="00AF5562"/>
    <w:rsid w:val="00B02833"/>
    <w:rsid w:val="00B07372"/>
    <w:rsid w:val="00B073E3"/>
    <w:rsid w:val="00B0748E"/>
    <w:rsid w:val="00B1021E"/>
    <w:rsid w:val="00B1027A"/>
    <w:rsid w:val="00B11DD7"/>
    <w:rsid w:val="00B135E9"/>
    <w:rsid w:val="00B15CDD"/>
    <w:rsid w:val="00B1738E"/>
    <w:rsid w:val="00B24D6E"/>
    <w:rsid w:val="00B27F4B"/>
    <w:rsid w:val="00B33B1A"/>
    <w:rsid w:val="00B342A9"/>
    <w:rsid w:val="00B43386"/>
    <w:rsid w:val="00B438FF"/>
    <w:rsid w:val="00B46060"/>
    <w:rsid w:val="00B46503"/>
    <w:rsid w:val="00B503A4"/>
    <w:rsid w:val="00B50729"/>
    <w:rsid w:val="00B50AF6"/>
    <w:rsid w:val="00B54116"/>
    <w:rsid w:val="00B557DF"/>
    <w:rsid w:val="00B569FD"/>
    <w:rsid w:val="00B56CC9"/>
    <w:rsid w:val="00B57E5C"/>
    <w:rsid w:val="00B632D9"/>
    <w:rsid w:val="00B645CB"/>
    <w:rsid w:val="00B67469"/>
    <w:rsid w:val="00B71715"/>
    <w:rsid w:val="00B73437"/>
    <w:rsid w:val="00B74693"/>
    <w:rsid w:val="00B7578B"/>
    <w:rsid w:val="00B810AC"/>
    <w:rsid w:val="00B813E1"/>
    <w:rsid w:val="00B867A8"/>
    <w:rsid w:val="00B87C24"/>
    <w:rsid w:val="00B9229D"/>
    <w:rsid w:val="00B94120"/>
    <w:rsid w:val="00B96C8C"/>
    <w:rsid w:val="00B974D8"/>
    <w:rsid w:val="00B976D3"/>
    <w:rsid w:val="00BA1CCE"/>
    <w:rsid w:val="00BA214A"/>
    <w:rsid w:val="00BA6AA6"/>
    <w:rsid w:val="00BE0726"/>
    <w:rsid w:val="00BE229E"/>
    <w:rsid w:val="00BE6C98"/>
    <w:rsid w:val="00BE7F19"/>
    <w:rsid w:val="00BF10A3"/>
    <w:rsid w:val="00BF1E72"/>
    <w:rsid w:val="00BF391D"/>
    <w:rsid w:val="00C01CE9"/>
    <w:rsid w:val="00C11BEC"/>
    <w:rsid w:val="00C11C2D"/>
    <w:rsid w:val="00C20C08"/>
    <w:rsid w:val="00C21DDA"/>
    <w:rsid w:val="00C27962"/>
    <w:rsid w:val="00C27A95"/>
    <w:rsid w:val="00C35018"/>
    <w:rsid w:val="00C35DE0"/>
    <w:rsid w:val="00C35E08"/>
    <w:rsid w:val="00C4057E"/>
    <w:rsid w:val="00C4061F"/>
    <w:rsid w:val="00C41D38"/>
    <w:rsid w:val="00C43D90"/>
    <w:rsid w:val="00C4584A"/>
    <w:rsid w:val="00C46650"/>
    <w:rsid w:val="00C5187E"/>
    <w:rsid w:val="00C538AF"/>
    <w:rsid w:val="00C554D4"/>
    <w:rsid w:val="00C64016"/>
    <w:rsid w:val="00C67F47"/>
    <w:rsid w:val="00C7139C"/>
    <w:rsid w:val="00C7244F"/>
    <w:rsid w:val="00C7665D"/>
    <w:rsid w:val="00C7746A"/>
    <w:rsid w:val="00C779D9"/>
    <w:rsid w:val="00C802F7"/>
    <w:rsid w:val="00C81734"/>
    <w:rsid w:val="00C9014B"/>
    <w:rsid w:val="00C91463"/>
    <w:rsid w:val="00C915AB"/>
    <w:rsid w:val="00C91D16"/>
    <w:rsid w:val="00C94847"/>
    <w:rsid w:val="00CA2948"/>
    <w:rsid w:val="00CA2D4B"/>
    <w:rsid w:val="00CA6911"/>
    <w:rsid w:val="00CA6E39"/>
    <w:rsid w:val="00CB205D"/>
    <w:rsid w:val="00CB22D0"/>
    <w:rsid w:val="00CB2608"/>
    <w:rsid w:val="00CB4C8B"/>
    <w:rsid w:val="00CB5A81"/>
    <w:rsid w:val="00CB67F1"/>
    <w:rsid w:val="00CB7978"/>
    <w:rsid w:val="00CC07B0"/>
    <w:rsid w:val="00CC23DE"/>
    <w:rsid w:val="00CC2A05"/>
    <w:rsid w:val="00CC4318"/>
    <w:rsid w:val="00CC61AD"/>
    <w:rsid w:val="00CD0598"/>
    <w:rsid w:val="00CD22E7"/>
    <w:rsid w:val="00CD3940"/>
    <w:rsid w:val="00CD5020"/>
    <w:rsid w:val="00CD58C0"/>
    <w:rsid w:val="00CF511B"/>
    <w:rsid w:val="00CF677B"/>
    <w:rsid w:val="00D00A47"/>
    <w:rsid w:val="00D034EB"/>
    <w:rsid w:val="00D035BC"/>
    <w:rsid w:val="00D03A50"/>
    <w:rsid w:val="00D10504"/>
    <w:rsid w:val="00D14D6F"/>
    <w:rsid w:val="00D15A2D"/>
    <w:rsid w:val="00D16839"/>
    <w:rsid w:val="00D2108A"/>
    <w:rsid w:val="00D21F31"/>
    <w:rsid w:val="00D22F23"/>
    <w:rsid w:val="00D32097"/>
    <w:rsid w:val="00D325B7"/>
    <w:rsid w:val="00D34316"/>
    <w:rsid w:val="00D366EF"/>
    <w:rsid w:val="00D43ED7"/>
    <w:rsid w:val="00D46A38"/>
    <w:rsid w:val="00D53B79"/>
    <w:rsid w:val="00D54461"/>
    <w:rsid w:val="00D54B75"/>
    <w:rsid w:val="00D562DE"/>
    <w:rsid w:val="00D5701E"/>
    <w:rsid w:val="00D61B5B"/>
    <w:rsid w:val="00D61BFB"/>
    <w:rsid w:val="00D61CDA"/>
    <w:rsid w:val="00D63706"/>
    <w:rsid w:val="00D669B7"/>
    <w:rsid w:val="00D760F7"/>
    <w:rsid w:val="00D76450"/>
    <w:rsid w:val="00D84C85"/>
    <w:rsid w:val="00D85B09"/>
    <w:rsid w:val="00D8642D"/>
    <w:rsid w:val="00D87C09"/>
    <w:rsid w:val="00D901C1"/>
    <w:rsid w:val="00D9186D"/>
    <w:rsid w:val="00D92961"/>
    <w:rsid w:val="00D92BCD"/>
    <w:rsid w:val="00D93326"/>
    <w:rsid w:val="00D95720"/>
    <w:rsid w:val="00D9598A"/>
    <w:rsid w:val="00D95E51"/>
    <w:rsid w:val="00D971D2"/>
    <w:rsid w:val="00DA1E77"/>
    <w:rsid w:val="00DA27F4"/>
    <w:rsid w:val="00DA6F91"/>
    <w:rsid w:val="00DB010F"/>
    <w:rsid w:val="00DB1CD6"/>
    <w:rsid w:val="00DB3074"/>
    <w:rsid w:val="00DB7A62"/>
    <w:rsid w:val="00DC0806"/>
    <w:rsid w:val="00DC0B4E"/>
    <w:rsid w:val="00DC4F1D"/>
    <w:rsid w:val="00DC61D2"/>
    <w:rsid w:val="00DC7571"/>
    <w:rsid w:val="00DD24BF"/>
    <w:rsid w:val="00DD5DD8"/>
    <w:rsid w:val="00DD5ECB"/>
    <w:rsid w:val="00DD5ED2"/>
    <w:rsid w:val="00DE6CE7"/>
    <w:rsid w:val="00DE7460"/>
    <w:rsid w:val="00DF46FF"/>
    <w:rsid w:val="00DF5260"/>
    <w:rsid w:val="00DF7DF8"/>
    <w:rsid w:val="00E03792"/>
    <w:rsid w:val="00E07CB5"/>
    <w:rsid w:val="00E1101A"/>
    <w:rsid w:val="00E11165"/>
    <w:rsid w:val="00E143DF"/>
    <w:rsid w:val="00E1482D"/>
    <w:rsid w:val="00E16B10"/>
    <w:rsid w:val="00E16BFC"/>
    <w:rsid w:val="00E23196"/>
    <w:rsid w:val="00E24C62"/>
    <w:rsid w:val="00E31BEB"/>
    <w:rsid w:val="00E32F22"/>
    <w:rsid w:val="00E37669"/>
    <w:rsid w:val="00E41894"/>
    <w:rsid w:val="00E42B5E"/>
    <w:rsid w:val="00E474AB"/>
    <w:rsid w:val="00E506E0"/>
    <w:rsid w:val="00E5635A"/>
    <w:rsid w:val="00E56E95"/>
    <w:rsid w:val="00E63C16"/>
    <w:rsid w:val="00E640D4"/>
    <w:rsid w:val="00E667C9"/>
    <w:rsid w:val="00E675D2"/>
    <w:rsid w:val="00E67A7B"/>
    <w:rsid w:val="00E70897"/>
    <w:rsid w:val="00E7308B"/>
    <w:rsid w:val="00E733EF"/>
    <w:rsid w:val="00E7421E"/>
    <w:rsid w:val="00E8228A"/>
    <w:rsid w:val="00E830FB"/>
    <w:rsid w:val="00E85758"/>
    <w:rsid w:val="00E857AC"/>
    <w:rsid w:val="00E86DF5"/>
    <w:rsid w:val="00E86E3F"/>
    <w:rsid w:val="00E92A05"/>
    <w:rsid w:val="00E94015"/>
    <w:rsid w:val="00E95BD5"/>
    <w:rsid w:val="00E95DF5"/>
    <w:rsid w:val="00E962BD"/>
    <w:rsid w:val="00E96C51"/>
    <w:rsid w:val="00EA1470"/>
    <w:rsid w:val="00EA1C1B"/>
    <w:rsid w:val="00EA3BBB"/>
    <w:rsid w:val="00EA4EBA"/>
    <w:rsid w:val="00EA6709"/>
    <w:rsid w:val="00EA697D"/>
    <w:rsid w:val="00EA6D8E"/>
    <w:rsid w:val="00EA7AB0"/>
    <w:rsid w:val="00EB332F"/>
    <w:rsid w:val="00EB6FB5"/>
    <w:rsid w:val="00EB72C7"/>
    <w:rsid w:val="00EC116C"/>
    <w:rsid w:val="00EC1B3F"/>
    <w:rsid w:val="00EC30E6"/>
    <w:rsid w:val="00EC50A6"/>
    <w:rsid w:val="00ED6094"/>
    <w:rsid w:val="00EE7CFD"/>
    <w:rsid w:val="00EF391A"/>
    <w:rsid w:val="00EF4205"/>
    <w:rsid w:val="00F03B1F"/>
    <w:rsid w:val="00F0781C"/>
    <w:rsid w:val="00F17F45"/>
    <w:rsid w:val="00F17FB1"/>
    <w:rsid w:val="00F2072E"/>
    <w:rsid w:val="00F21410"/>
    <w:rsid w:val="00F22933"/>
    <w:rsid w:val="00F24E64"/>
    <w:rsid w:val="00F340A4"/>
    <w:rsid w:val="00F36DC4"/>
    <w:rsid w:val="00F373DB"/>
    <w:rsid w:val="00F415B7"/>
    <w:rsid w:val="00F41B3B"/>
    <w:rsid w:val="00F42DF5"/>
    <w:rsid w:val="00F45184"/>
    <w:rsid w:val="00F562F0"/>
    <w:rsid w:val="00F622B4"/>
    <w:rsid w:val="00F660B9"/>
    <w:rsid w:val="00F71795"/>
    <w:rsid w:val="00F71CB9"/>
    <w:rsid w:val="00F73A80"/>
    <w:rsid w:val="00F74709"/>
    <w:rsid w:val="00F7694B"/>
    <w:rsid w:val="00F77080"/>
    <w:rsid w:val="00F77B4D"/>
    <w:rsid w:val="00F812F9"/>
    <w:rsid w:val="00F820DA"/>
    <w:rsid w:val="00F848BF"/>
    <w:rsid w:val="00F90AD4"/>
    <w:rsid w:val="00F91668"/>
    <w:rsid w:val="00F93A0F"/>
    <w:rsid w:val="00F94495"/>
    <w:rsid w:val="00F94B96"/>
    <w:rsid w:val="00FA4B11"/>
    <w:rsid w:val="00FA664F"/>
    <w:rsid w:val="00FA6FA5"/>
    <w:rsid w:val="00FA75BD"/>
    <w:rsid w:val="00FB2175"/>
    <w:rsid w:val="00FB226D"/>
    <w:rsid w:val="00FB3EC1"/>
    <w:rsid w:val="00FC5636"/>
    <w:rsid w:val="00FC57B0"/>
    <w:rsid w:val="00FC5818"/>
    <w:rsid w:val="00FC62A5"/>
    <w:rsid w:val="00FD316E"/>
    <w:rsid w:val="00FD3CC7"/>
    <w:rsid w:val="00FD6D70"/>
    <w:rsid w:val="00FE11E2"/>
    <w:rsid w:val="00FE1741"/>
    <w:rsid w:val="00FE2D10"/>
    <w:rsid w:val="00FE3F47"/>
    <w:rsid w:val="00FE71A6"/>
    <w:rsid w:val="00FF55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C3A9F"/>
  <w15:docId w15:val="{C5885887-E7D7-49A2-945E-CEAE7C2D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2A6"/>
    <w:rPr>
      <w:sz w:val="24"/>
      <w:szCs w:val="24"/>
    </w:rPr>
  </w:style>
  <w:style w:type="paragraph" w:styleId="Heading1">
    <w:name w:val="heading 1"/>
    <w:basedOn w:val="Normal"/>
    <w:next w:val="Normal"/>
    <w:link w:val="Heading1Char"/>
    <w:qFormat/>
    <w:rsid w:val="00E56E9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622C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179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nhideWhenUsed/>
    <w:qFormat/>
    <w:rsid w:val="00A3026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63C1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569F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339F"/>
    <w:pPr>
      <w:tabs>
        <w:tab w:val="center" w:pos="4320"/>
        <w:tab w:val="right" w:pos="8640"/>
      </w:tabs>
    </w:pPr>
  </w:style>
  <w:style w:type="character" w:styleId="PageNumber">
    <w:name w:val="page number"/>
    <w:basedOn w:val="DefaultParagraphFont"/>
    <w:rsid w:val="00AE339F"/>
  </w:style>
  <w:style w:type="paragraph" w:styleId="Header">
    <w:name w:val="header"/>
    <w:basedOn w:val="Normal"/>
    <w:link w:val="HeaderChar"/>
    <w:uiPriority w:val="99"/>
    <w:rsid w:val="00C7244F"/>
    <w:pPr>
      <w:tabs>
        <w:tab w:val="center" w:pos="4680"/>
        <w:tab w:val="right" w:pos="9360"/>
      </w:tabs>
    </w:pPr>
  </w:style>
  <w:style w:type="character" w:customStyle="1" w:styleId="HeaderChar">
    <w:name w:val="Header Char"/>
    <w:link w:val="Header"/>
    <w:uiPriority w:val="99"/>
    <w:rsid w:val="00C7244F"/>
    <w:rPr>
      <w:sz w:val="24"/>
      <w:szCs w:val="24"/>
    </w:rPr>
  </w:style>
  <w:style w:type="table" w:styleId="TableGrid">
    <w:name w:val="Table Grid"/>
    <w:basedOn w:val="TableNormal"/>
    <w:uiPriority w:val="59"/>
    <w:rsid w:val="00E70897"/>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Linespacing15lines">
    <w:name w:val="Style Heading 1 + Line spacing:  1.5 lines"/>
    <w:basedOn w:val="Normal"/>
    <w:rsid w:val="004D7246"/>
    <w:pPr>
      <w:keepNext/>
      <w:spacing w:before="100" w:after="100" w:line="360" w:lineRule="auto"/>
      <w:jc w:val="center"/>
      <w:outlineLvl w:val="0"/>
    </w:pPr>
    <w:rPr>
      <w:rFonts w:ascii=".VnTimeH" w:hAnsi=".VnTimeH"/>
      <w:b/>
      <w:sz w:val="32"/>
      <w:szCs w:val="20"/>
    </w:rPr>
  </w:style>
  <w:style w:type="paragraph" w:styleId="BodyText">
    <w:name w:val="Body Text"/>
    <w:basedOn w:val="Normal"/>
    <w:link w:val="BodyTextChar"/>
    <w:rsid w:val="004D7246"/>
    <w:pPr>
      <w:jc w:val="both"/>
    </w:pPr>
    <w:rPr>
      <w:rFonts w:ascii=".VnTime" w:hAnsi=".VnTime"/>
      <w:kern w:val="2"/>
      <w:u w:val="words"/>
    </w:rPr>
  </w:style>
  <w:style w:type="character" w:customStyle="1" w:styleId="BodyTextChar">
    <w:name w:val="Body Text Char"/>
    <w:link w:val="BodyText"/>
    <w:rsid w:val="004D7246"/>
    <w:rPr>
      <w:rFonts w:ascii=".VnTime" w:hAnsi=".VnTime"/>
      <w:kern w:val="2"/>
      <w:sz w:val="24"/>
      <w:szCs w:val="24"/>
      <w:u w:val="words"/>
    </w:rPr>
  </w:style>
  <w:style w:type="paragraph" w:styleId="ListParagraph">
    <w:name w:val="List Paragraph"/>
    <w:basedOn w:val="Normal"/>
    <w:uiPriority w:val="34"/>
    <w:qFormat/>
    <w:rsid w:val="00961938"/>
    <w:pPr>
      <w:ind w:left="720"/>
      <w:contextualSpacing/>
    </w:pPr>
  </w:style>
  <w:style w:type="paragraph" w:styleId="BalloonText">
    <w:name w:val="Balloon Text"/>
    <w:basedOn w:val="Normal"/>
    <w:link w:val="BalloonTextChar"/>
    <w:rsid w:val="00CB22D0"/>
    <w:rPr>
      <w:rFonts w:ascii="Tahoma" w:hAnsi="Tahoma" w:cs="Tahoma"/>
      <w:sz w:val="16"/>
      <w:szCs w:val="16"/>
    </w:rPr>
  </w:style>
  <w:style w:type="character" w:customStyle="1" w:styleId="BalloonTextChar">
    <w:name w:val="Balloon Text Char"/>
    <w:basedOn w:val="DefaultParagraphFont"/>
    <w:link w:val="BalloonText"/>
    <w:rsid w:val="00CB22D0"/>
    <w:rPr>
      <w:rFonts w:ascii="Tahoma" w:hAnsi="Tahoma" w:cs="Tahoma"/>
      <w:sz w:val="16"/>
      <w:szCs w:val="16"/>
    </w:rPr>
  </w:style>
  <w:style w:type="character" w:customStyle="1" w:styleId="Heading3Char">
    <w:name w:val="Heading 3 Char"/>
    <w:basedOn w:val="DefaultParagraphFont"/>
    <w:link w:val="Heading3"/>
    <w:uiPriority w:val="9"/>
    <w:rsid w:val="00F71795"/>
    <w:rPr>
      <w:rFonts w:asciiTheme="majorHAnsi" w:eastAsiaTheme="majorEastAsia" w:hAnsiTheme="majorHAnsi" w:cstheme="majorBidi"/>
      <w:b/>
      <w:bCs/>
      <w:color w:val="4F81BD" w:themeColor="accent1"/>
      <w:sz w:val="22"/>
      <w:szCs w:val="22"/>
    </w:rPr>
  </w:style>
  <w:style w:type="paragraph" w:styleId="NormalWeb">
    <w:name w:val="Normal (Web)"/>
    <w:basedOn w:val="Normal"/>
    <w:uiPriority w:val="99"/>
    <w:unhideWhenUsed/>
    <w:rsid w:val="00F71795"/>
    <w:pPr>
      <w:spacing w:before="100" w:beforeAutospacing="1" w:after="100" w:afterAutospacing="1"/>
    </w:pPr>
  </w:style>
  <w:style w:type="paragraph" w:customStyle="1" w:styleId="bang">
    <w:name w:val="bang"/>
    <w:basedOn w:val="Normal"/>
    <w:qFormat/>
    <w:rsid w:val="005633D7"/>
    <w:pPr>
      <w:spacing w:after="120" w:line="360" w:lineRule="auto"/>
      <w:jc w:val="center"/>
    </w:pPr>
    <w:rPr>
      <w:i/>
      <w:noProof/>
      <w:color w:val="000000"/>
      <w:kern w:val="20"/>
      <w:sz w:val="28"/>
      <w:szCs w:val="28"/>
      <w:lang w:val="vi-VN"/>
    </w:rPr>
  </w:style>
  <w:style w:type="character" w:customStyle="1" w:styleId="Heading2Char">
    <w:name w:val="Heading 2 Char"/>
    <w:basedOn w:val="DefaultParagraphFont"/>
    <w:link w:val="Heading2"/>
    <w:rsid w:val="00622CF7"/>
    <w:rPr>
      <w:rFonts w:asciiTheme="majorHAnsi" w:eastAsiaTheme="majorEastAsia" w:hAnsiTheme="majorHAnsi" w:cstheme="majorBidi"/>
      <w:b/>
      <w:bCs/>
      <w:color w:val="4F81BD" w:themeColor="accent1"/>
      <w:sz w:val="26"/>
      <w:szCs w:val="26"/>
    </w:rPr>
  </w:style>
  <w:style w:type="character" w:customStyle="1" w:styleId="FooterChar">
    <w:name w:val="Footer Char"/>
    <w:basedOn w:val="DefaultParagraphFont"/>
    <w:link w:val="Footer"/>
    <w:uiPriority w:val="99"/>
    <w:rsid w:val="00CD3940"/>
    <w:rPr>
      <w:sz w:val="24"/>
      <w:szCs w:val="24"/>
    </w:rPr>
  </w:style>
  <w:style w:type="character" w:customStyle="1" w:styleId="Heading4Char">
    <w:name w:val="Heading 4 Char"/>
    <w:basedOn w:val="DefaultParagraphFont"/>
    <w:link w:val="Heading4"/>
    <w:rsid w:val="00A30269"/>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E63C16"/>
    <w:rPr>
      <w:rFonts w:asciiTheme="majorHAnsi" w:eastAsiaTheme="majorEastAsia" w:hAnsiTheme="majorHAnsi" w:cstheme="majorBidi"/>
      <w:color w:val="243F60" w:themeColor="accent1" w:themeShade="7F"/>
      <w:sz w:val="24"/>
      <w:szCs w:val="24"/>
    </w:rPr>
  </w:style>
  <w:style w:type="paragraph" w:customStyle="1" w:styleId="Heading40">
    <w:name w:val="Heading4"/>
    <w:basedOn w:val="Heading6"/>
    <w:link w:val="Heading4Char0"/>
    <w:qFormat/>
    <w:rsid w:val="00B569FD"/>
    <w:pPr>
      <w:keepNext w:val="0"/>
      <w:keepLines w:val="0"/>
      <w:spacing w:before="400" w:after="240" w:line="272" w:lineRule="atLeast"/>
      <w:jc w:val="both"/>
    </w:pPr>
    <w:rPr>
      <w:rFonts w:ascii="Arial" w:eastAsia="Times New Roman" w:hAnsi="Arial" w:cs="Times New Roman"/>
      <w:bCs/>
      <w:i/>
      <w:color w:val="auto"/>
      <w:szCs w:val="22"/>
    </w:rPr>
  </w:style>
  <w:style w:type="character" w:customStyle="1" w:styleId="Heading4Char0">
    <w:name w:val="Heading4 Char"/>
    <w:link w:val="Heading40"/>
    <w:rsid w:val="00B569FD"/>
    <w:rPr>
      <w:rFonts w:ascii="Arial" w:hAnsi="Arial"/>
      <w:bCs/>
      <w:i/>
      <w:sz w:val="24"/>
      <w:szCs w:val="22"/>
    </w:rPr>
  </w:style>
  <w:style w:type="character" w:customStyle="1" w:styleId="Heading6Char">
    <w:name w:val="Heading 6 Char"/>
    <w:basedOn w:val="DefaultParagraphFont"/>
    <w:link w:val="Heading6"/>
    <w:semiHidden/>
    <w:rsid w:val="00B569FD"/>
    <w:rPr>
      <w:rFonts w:asciiTheme="majorHAnsi" w:eastAsiaTheme="majorEastAsia" w:hAnsiTheme="majorHAnsi" w:cstheme="majorBidi"/>
      <w:color w:val="243F60" w:themeColor="accent1" w:themeShade="7F"/>
      <w:sz w:val="24"/>
      <w:szCs w:val="24"/>
    </w:rPr>
  </w:style>
  <w:style w:type="table" w:customStyle="1" w:styleId="TableGrid1">
    <w:name w:val="Table Grid1"/>
    <w:basedOn w:val="TableNormal"/>
    <w:next w:val="TableGrid"/>
    <w:uiPriority w:val="39"/>
    <w:rsid w:val="002F32A6"/>
    <w:rPr>
      <w:rFonts w:eastAsia="Calibri"/>
      <w:sz w:val="26"/>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D76450"/>
  </w:style>
  <w:style w:type="paragraph" w:styleId="TOC2">
    <w:name w:val="toc 2"/>
    <w:basedOn w:val="Normal"/>
    <w:next w:val="Normal"/>
    <w:autoRedefine/>
    <w:uiPriority w:val="39"/>
    <w:unhideWhenUsed/>
    <w:rsid w:val="00CF677B"/>
    <w:pPr>
      <w:spacing w:after="100"/>
      <w:ind w:left="240"/>
    </w:pPr>
  </w:style>
  <w:style w:type="paragraph" w:styleId="TOC3">
    <w:name w:val="toc 3"/>
    <w:basedOn w:val="Normal"/>
    <w:next w:val="Normal"/>
    <w:autoRedefine/>
    <w:uiPriority w:val="39"/>
    <w:unhideWhenUsed/>
    <w:rsid w:val="00CF677B"/>
    <w:pPr>
      <w:spacing w:after="100"/>
      <w:ind w:left="480"/>
    </w:pPr>
  </w:style>
  <w:style w:type="paragraph" w:styleId="TOC5">
    <w:name w:val="toc 5"/>
    <w:basedOn w:val="Normal"/>
    <w:next w:val="Normal"/>
    <w:autoRedefine/>
    <w:uiPriority w:val="39"/>
    <w:unhideWhenUsed/>
    <w:rsid w:val="00CF677B"/>
    <w:pPr>
      <w:spacing w:after="100"/>
      <w:ind w:left="960"/>
    </w:pPr>
  </w:style>
  <w:style w:type="paragraph" w:styleId="TOC4">
    <w:name w:val="toc 4"/>
    <w:basedOn w:val="Normal"/>
    <w:next w:val="Normal"/>
    <w:autoRedefine/>
    <w:uiPriority w:val="39"/>
    <w:unhideWhenUsed/>
    <w:rsid w:val="00CF677B"/>
    <w:pPr>
      <w:spacing w:after="100"/>
      <w:ind w:left="720"/>
    </w:pPr>
  </w:style>
  <w:style w:type="table" w:customStyle="1" w:styleId="TableGrid2">
    <w:name w:val="Table Grid2"/>
    <w:basedOn w:val="TableNormal"/>
    <w:next w:val="TableGrid"/>
    <w:uiPriority w:val="59"/>
    <w:rsid w:val="00293AD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6832BF"/>
    <w:rPr>
      <w:color w:val="0000FF" w:themeColor="hyperlink"/>
      <w:u w:val="single"/>
    </w:rPr>
  </w:style>
  <w:style w:type="paragraph" w:styleId="BodyTextIndent">
    <w:name w:val="Body Text Indent"/>
    <w:basedOn w:val="Normal"/>
    <w:link w:val="BodyTextIndentChar"/>
    <w:semiHidden/>
    <w:unhideWhenUsed/>
    <w:rsid w:val="006832BF"/>
    <w:pPr>
      <w:spacing w:after="120"/>
      <w:ind w:left="360"/>
    </w:pPr>
  </w:style>
  <w:style w:type="character" w:customStyle="1" w:styleId="BodyTextIndentChar">
    <w:name w:val="Body Text Indent Char"/>
    <w:basedOn w:val="DefaultParagraphFont"/>
    <w:link w:val="BodyTextIndent"/>
    <w:semiHidden/>
    <w:rsid w:val="006832BF"/>
    <w:rPr>
      <w:sz w:val="24"/>
      <w:szCs w:val="24"/>
    </w:rPr>
  </w:style>
  <w:style w:type="paragraph" w:styleId="BodyTextIndent2">
    <w:name w:val="Body Text Indent 2"/>
    <w:basedOn w:val="Normal"/>
    <w:link w:val="BodyTextIndent2Char"/>
    <w:semiHidden/>
    <w:unhideWhenUsed/>
    <w:rsid w:val="006832BF"/>
    <w:pPr>
      <w:spacing w:after="120" w:line="480" w:lineRule="auto"/>
      <w:ind w:left="360"/>
    </w:pPr>
  </w:style>
  <w:style w:type="character" w:customStyle="1" w:styleId="BodyTextIndent2Char">
    <w:name w:val="Body Text Indent 2 Char"/>
    <w:basedOn w:val="DefaultParagraphFont"/>
    <w:link w:val="BodyTextIndent2"/>
    <w:semiHidden/>
    <w:rsid w:val="006832BF"/>
    <w:rPr>
      <w:sz w:val="24"/>
      <w:szCs w:val="24"/>
    </w:rPr>
  </w:style>
  <w:style w:type="character" w:customStyle="1" w:styleId="Heading1Char">
    <w:name w:val="Heading 1 Char"/>
    <w:basedOn w:val="DefaultParagraphFont"/>
    <w:link w:val="Heading1"/>
    <w:rsid w:val="00E56E95"/>
    <w:rPr>
      <w:rFonts w:asciiTheme="majorHAnsi" w:eastAsiaTheme="majorEastAsia" w:hAnsiTheme="majorHAnsi" w:cstheme="majorBidi"/>
      <w:color w:val="365F91" w:themeColor="accent1" w:themeShade="BF"/>
      <w:sz w:val="32"/>
      <w:szCs w:val="32"/>
    </w:rPr>
  </w:style>
  <w:style w:type="paragraph" w:customStyle="1" w:styleId="A1">
    <w:name w:val="A1"/>
    <w:basedOn w:val="Normal"/>
    <w:link w:val="A1Char"/>
    <w:autoRedefine/>
    <w:qFormat/>
    <w:rsid w:val="003F2B34"/>
    <w:pPr>
      <w:spacing w:line="320" w:lineRule="exact"/>
      <w:jc w:val="center"/>
      <w:outlineLvl w:val="0"/>
    </w:pPr>
    <w:rPr>
      <w:rFonts w:eastAsia="MS Gothic" w:cs="Tahoma"/>
      <w:b/>
      <w:bCs/>
      <w:sz w:val="22"/>
      <w:szCs w:val="22"/>
    </w:rPr>
  </w:style>
  <w:style w:type="character" w:customStyle="1" w:styleId="A1Char">
    <w:name w:val="A1 Char"/>
    <w:link w:val="A1"/>
    <w:rsid w:val="003F2B34"/>
    <w:rPr>
      <w:rFonts w:eastAsia="MS Gothic" w:cs="Tahoma"/>
      <w:b/>
      <w:bCs/>
      <w:sz w:val="22"/>
      <w:szCs w:val="22"/>
    </w:rPr>
  </w:style>
  <w:style w:type="paragraph" w:styleId="Caption">
    <w:name w:val="caption"/>
    <w:basedOn w:val="Normal"/>
    <w:next w:val="Normal"/>
    <w:uiPriority w:val="35"/>
    <w:unhideWhenUsed/>
    <w:qFormat/>
    <w:rsid w:val="002D4E10"/>
    <w:pPr>
      <w:spacing w:before="120" w:after="120" w:line="360" w:lineRule="auto"/>
    </w:pPr>
    <w:rPr>
      <w:rFonts w:eastAsia="Calibri"/>
      <w:iCs/>
      <w:sz w:val="2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168">
      <w:bodyDiv w:val="1"/>
      <w:marLeft w:val="0"/>
      <w:marRight w:val="0"/>
      <w:marTop w:val="0"/>
      <w:marBottom w:val="0"/>
      <w:divBdr>
        <w:top w:val="none" w:sz="0" w:space="0" w:color="auto"/>
        <w:left w:val="none" w:sz="0" w:space="0" w:color="auto"/>
        <w:bottom w:val="none" w:sz="0" w:space="0" w:color="auto"/>
        <w:right w:val="none" w:sz="0" w:space="0" w:color="auto"/>
      </w:divBdr>
    </w:div>
    <w:div w:id="44525858">
      <w:bodyDiv w:val="1"/>
      <w:marLeft w:val="0"/>
      <w:marRight w:val="0"/>
      <w:marTop w:val="0"/>
      <w:marBottom w:val="0"/>
      <w:divBdr>
        <w:top w:val="none" w:sz="0" w:space="0" w:color="auto"/>
        <w:left w:val="none" w:sz="0" w:space="0" w:color="auto"/>
        <w:bottom w:val="none" w:sz="0" w:space="0" w:color="auto"/>
        <w:right w:val="none" w:sz="0" w:space="0" w:color="auto"/>
      </w:divBdr>
    </w:div>
    <w:div w:id="62602190">
      <w:bodyDiv w:val="1"/>
      <w:marLeft w:val="0"/>
      <w:marRight w:val="0"/>
      <w:marTop w:val="0"/>
      <w:marBottom w:val="0"/>
      <w:divBdr>
        <w:top w:val="none" w:sz="0" w:space="0" w:color="auto"/>
        <w:left w:val="none" w:sz="0" w:space="0" w:color="auto"/>
        <w:bottom w:val="none" w:sz="0" w:space="0" w:color="auto"/>
        <w:right w:val="none" w:sz="0" w:space="0" w:color="auto"/>
      </w:divBdr>
    </w:div>
    <w:div w:id="81222940">
      <w:bodyDiv w:val="1"/>
      <w:marLeft w:val="0"/>
      <w:marRight w:val="0"/>
      <w:marTop w:val="0"/>
      <w:marBottom w:val="0"/>
      <w:divBdr>
        <w:top w:val="none" w:sz="0" w:space="0" w:color="auto"/>
        <w:left w:val="none" w:sz="0" w:space="0" w:color="auto"/>
        <w:bottom w:val="none" w:sz="0" w:space="0" w:color="auto"/>
        <w:right w:val="none" w:sz="0" w:space="0" w:color="auto"/>
      </w:divBdr>
    </w:div>
    <w:div w:id="86117750">
      <w:bodyDiv w:val="1"/>
      <w:marLeft w:val="0"/>
      <w:marRight w:val="0"/>
      <w:marTop w:val="0"/>
      <w:marBottom w:val="0"/>
      <w:divBdr>
        <w:top w:val="none" w:sz="0" w:space="0" w:color="auto"/>
        <w:left w:val="none" w:sz="0" w:space="0" w:color="auto"/>
        <w:bottom w:val="none" w:sz="0" w:space="0" w:color="auto"/>
        <w:right w:val="none" w:sz="0" w:space="0" w:color="auto"/>
      </w:divBdr>
    </w:div>
    <w:div w:id="87702525">
      <w:bodyDiv w:val="1"/>
      <w:marLeft w:val="0"/>
      <w:marRight w:val="0"/>
      <w:marTop w:val="0"/>
      <w:marBottom w:val="0"/>
      <w:divBdr>
        <w:top w:val="none" w:sz="0" w:space="0" w:color="auto"/>
        <w:left w:val="none" w:sz="0" w:space="0" w:color="auto"/>
        <w:bottom w:val="none" w:sz="0" w:space="0" w:color="auto"/>
        <w:right w:val="none" w:sz="0" w:space="0" w:color="auto"/>
      </w:divBdr>
    </w:div>
    <w:div w:id="94908985">
      <w:bodyDiv w:val="1"/>
      <w:marLeft w:val="0"/>
      <w:marRight w:val="0"/>
      <w:marTop w:val="0"/>
      <w:marBottom w:val="0"/>
      <w:divBdr>
        <w:top w:val="none" w:sz="0" w:space="0" w:color="auto"/>
        <w:left w:val="none" w:sz="0" w:space="0" w:color="auto"/>
        <w:bottom w:val="none" w:sz="0" w:space="0" w:color="auto"/>
        <w:right w:val="none" w:sz="0" w:space="0" w:color="auto"/>
      </w:divBdr>
    </w:div>
    <w:div w:id="100076375">
      <w:bodyDiv w:val="1"/>
      <w:marLeft w:val="0"/>
      <w:marRight w:val="0"/>
      <w:marTop w:val="0"/>
      <w:marBottom w:val="0"/>
      <w:divBdr>
        <w:top w:val="none" w:sz="0" w:space="0" w:color="auto"/>
        <w:left w:val="none" w:sz="0" w:space="0" w:color="auto"/>
        <w:bottom w:val="none" w:sz="0" w:space="0" w:color="auto"/>
        <w:right w:val="none" w:sz="0" w:space="0" w:color="auto"/>
      </w:divBdr>
    </w:div>
    <w:div w:id="134028803">
      <w:bodyDiv w:val="1"/>
      <w:marLeft w:val="0"/>
      <w:marRight w:val="0"/>
      <w:marTop w:val="0"/>
      <w:marBottom w:val="0"/>
      <w:divBdr>
        <w:top w:val="none" w:sz="0" w:space="0" w:color="auto"/>
        <w:left w:val="none" w:sz="0" w:space="0" w:color="auto"/>
        <w:bottom w:val="none" w:sz="0" w:space="0" w:color="auto"/>
        <w:right w:val="none" w:sz="0" w:space="0" w:color="auto"/>
      </w:divBdr>
    </w:div>
    <w:div w:id="156045283">
      <w:bodyDiv w:val="1"/>
      <w:marLeft w:val="0"/>
      <w:marRight w:val="0"/>
      <w:marTop w:val="0"/>
      <w:marBottom w:val="0"/>
      <w:divBdr>
        <w:top w:val="none" w:sz="0" w:space="0" w:color="auto"/>
        <w:left w:val="none" w:sz="0" w:space="0" w:color="auto"/>
        <w:bottom w:val="none" w:sz="0" w:space="0" w:color="auto"/>
        <w:right w:val="none" w:sz="0" w:space="0" w:color="auto"/>
      </w:divBdr>
    </w:div>
    <w:div w:id="206718946">
      <w:bodyDiv w:val="1"/>
      <w:marLeft w:val="0"/>
      <w:marRight w:val="0"/>
      <w:marTop w:val="0"/>
      <w:marBottom w:val="0"/>
      <w:divBdr>
        <w:top w:val="none" w:sz="0" w:space="0" w:color="auto"/>
        <w:left w:val="none" w:sz="0" w:space="0" w:color="auto"/>
        <w:bottom w:val="none" w:sz="0" w:space="0" w:color="auto"/>
        <w:right w:val="none" w:sz="0" w:space="0" w:color="auto"/>
      </w:divBdr>
    </w:div>
    <w:div w:id="214051543">
      <w:bodyDiv w:val="1"/>
      <w:marLeft w:val="0"/>
      <w:marRight w:val="0"/>
      <w:marTop w:val="0"/>
      <w:marBottom w:val="0"/>
      <w:divBdr>
        <w:top w:val="none" w:sz="0" w:space="0" w:color="auto"/>
        <w:left w:val="none" w:sz="0" w:space="0" w:color="auto"/>
        <w:bottom w:val="none" w:sz="0" w:space="0" w:color="auto"/>
        <w:right w:val="none" w:sz="0" w:space="0" w:color="auto"/>
      </w:divBdr>
    </w:div>
    <w:div w:id="234706673">
      <w:bodyDiv w:val="1"/>
      <w:marLeft w:val="0"/>
      <w:marRight w:val="0"/>
      <w:marTop w:val="0"/>
      <w:marBottom w:val="0"/>
      <w:divBdr>
        <w:top w:val="none" w:sz="0" w:space="0" w:color="auto"/>
        <w:left w:val="none" w:sz="0" w:space="0" w:color="auto"/>
        <w:bottom w:val="none" w:sz="0" w:space="0" w:color="auto"/>
        <w:right w:val="none" w:sz="0" w:space="0" w:color="auto"/>
      </w:divBdr>
    </w:div>
    <w:div w:id="246694955">
      <w:bodyDiv w:val="1"/>
      <w:marLeft w:val="0"/>
      <w:marRight w:val="0"/>
      <w:marTop w:val="0"/>
      <w:marBottom w:val="0"/>
      <w:divBdr>
        <w:top w:val="none" w:sz="0" w:space="0" w:color="auto"/>
        <w:left w:val="none" w:sz="0" w:space="0" w:color="auto"/>
        <w:bottom w:val="none" w:sz="0" w:space="0" w:color="auto"/>
        <w:right w:val="none" w:sz="0" w:space="0" w:color="auto"/>
      </w:divBdr>
    </w:div>
    <w:div w:id="269628298">
      <w:bodyDiv w:val="1"/>
      <w:marLeft w:val="0"/>
      <w:marRight w:val="0"/>
      <w:marTop w:val="0"/>
      <w:marBottom w:val="0"/>
      <w:divBdr>
        <w:top w:val="none" w:sz="0" w:space="0" w:color="auto"/>
        <w:left w:val="none" w:sz="0" w:space="0" w:color="auto"/>
        <w:bottom w:val="none" w:sz="0" w:space="0" w:color="auto"/>
        <w:right w:val="none" w:sz="0" w:space="0" w:color="auto"/>
      </w:divBdr>
    </w:div>
    <w:div w:id="288240310">
      <w:bodyDiv w:val="1"/>
      <w:marLeft w:val="0"/>
      <w:marRight w:val="0"/>
      <w:marTop w:val="0"/>
      <w:marBottom w:val="0"/>
      <w:divBdr>
        <w:top w:val="none" w:sz="0" w:space="0" w:color="auto"/>
        <w:left w:val="none" w:sz="0" w:space="0" w:color="auto"/>
        <w:bottom w:val="none" w:sz="0" w:space="0" w:color="auto"/>
        <w:right w:val="none" w:sz="0" w:space="0" w:color="auto"/>
      </w:divBdr>
    </w:div>
    <w:div w:id="329257358">
      <w:bodyDiv w:val="1"/>
      <w:marLeft w:val="0"/>
      <w:marRight w:val="0"/>
      <w:marTop w:val="0"/>
      <w:marBottom w:val="0"/>
      <w:divBdr>
        <w:top w:val="none" w:sz="0" w:space="0" w:color="auto"/>
        <w:left w:val="none" w:sz="0" w:space="0" w:color="auto"/>
        <w:bottom w:val="none" w:sz="0" w:space="0" w:color="auto"/>
        <w:right w:val="none" w:sz="0" w:space="0" w:color="auto"/>
      </w:divBdr>
    </w:div>
    <w:div w:id="347221116">
      <w:bodyDiv w:val="1"/>
      <w:marLeft w:val="0"/>
      <w:marRight w:val="0"/>
      <w:marTop w:val="0"/>
      <w:marBottom w:val="0"/>
      <w:divBdr>
        <w:top w:val="none" w:sz="0" w:space="0" w:color="auto"/>
        <w:left w:val="none" w:sz="0" w:space="0" w:color="auto"/>
        <w:bottom w:val="none" w:sz="0" w:space="0" w:color="auto"/>
        <w:right w:val="none" w:sz="0" w:space="0" w:color="auto"/>
      </w:divBdr>
    </w:div>
    <w:div w:id="351147021">
      <w:bodyDiv w:val="1"/>
      <w:marLeft w:val="0"/>
      <w:marRight w:val="0"/>
      <w:marTop w:val="0"/>
      <w:marBottom w:val="0"/>
      <w:divBdr>
        <w:top w:val="none" w:sz="0" w:space="0" w:color="auto"/>
        <w:left w:val="none" w:sz="0" w:space="0" w:color="auto"/>
        <w:bottom w:val="none" w:sz="0" w:space="0" w:color="auto"/>
        <w:right w:val="none" w:sz="0" w:space="0" w:color="auto"/>
      </w:divBdr>
    </w:div>
    <w:div w:id="374895673">
      <w:bodyDiv w:val="1"/>
      <w:marLeft w:val="0"/>
      <w:marRight w:val="0"/>
      <w:marTop w:val="0"/>
      <w:marBottom w:val="0"/>
      <w:divBdr>
        <w:top w:val="none" w:sz="0" w:space="0" w:color="auto"/>
        <w:left w:val="none" w:sz="0" w:space="0" w:color="auto"/>
        <w:bottom w:val="none" w:sz="0" w:space="0" w:color="auto"/>
        <w:right w:val="none" w:sz="0" w:space="0" w:color="auto"/>
      </w:divBdr>
    </w:div>
    <w:div w:id="390617156">
      <w:bodyDiv w:val="1"/>
      <w:marLeft w:val="0"/>
      <w:marRight w:val="0"/>
      <w:marTop w:val="0"/>
      <w:marBottom w:val="0"/>
      <w:divBdr>
        <w:top w:val="none" w:sz="0" w:space="0" w:color="auto"/>
        <w:left w:val="none" w:sz="0" w:space="0" w:color="auto"/>
        <w:bottom w:val="none" w:sz="0" w:space="0" w:color="auto"/>
        <w:right w:val="none" w:sz="0" w:space="0" w:color="auto"/>
      </w:divBdr>
    </w:div>
    <w:div w:id="462191747">
      <w:bodyDiv w:val="1"/>
      <w:marLeft w:val="0"/>
      <w:marRight w:val="0"/>
      <w:marTop w:val="0"/>
      <w:marBottom w:val="0"/>
      <w:divBdr>
        <w:top w:val="none" w:sz="0" w:space="0" w:color="auto"/>
        <w:left w:val="none" w:sz="0" w:space="0" w:color="auto"/>
        <w:bottom w:val="none" w:sz="0" w:space="0" w:color="auto"/>
        <w:right w:val="none" w:sz="0" w:space="0" w:color="auto"/>
      </w:divBdr>
    </w:div>
    <w:div w:id="468011358">
      <w:bodyDiv w:val="1"/>
      <w:marLeft w:val="0"/>
      <w:marRight w:val="0"/>
      <w:marTop w:val="0"/>
      <w:marBottom w:val="0"/>
      <w:divBdr>
        <w:top w:val="none" w:sz="0" w:space="0" w:color="auto"/>
        <w:left w:val="none" w:sz="0" w:space="0" w:color="auto"/>
        <w:bottom w:val="none" w:sz="0" w:space="0" w:color="auto"/>
        <w:right w:val="none" w:sz="0" w:space="0" w:color="auto"/>
      </w:divBdr>
    </w:div>
    <w:div w:id="502546185">
      <w:bodyDiv w:val="1"/>
      <w:marLeft w:val="0"/>
      <w:marRight w:val="0"/>
      <w:marTop w:val="0"/>
      <w:marBottom w:val="0"/>
      <w:divBdr>
        <w:top w:val="none" w:sz="0" w:space="0" w:color="auto"/>
        <w:left w:val="none" w:sz="0" w:space="0" w:color="auto"/>
        <w:bottom w:val="none" w:sz="0" w:space="0" w:color="auto"/>
        <w:right w:val="none" w:sz="0" w:space="0" w:color="auto"/>
      </w:divBdr>
    </w:div>
    <w:div w:id="562523760">
      <w:bodyDiv w:val="1"/>
      <w:marLeft w:val="0"/>
      <w:marRight w:val="0"/>
      <w:marTop w:val="0"/>
      <w:marBottom w:val="0"/>
      <w:divBdr>
        <w:top w:val="none" w:sz="0" w:space="0" w:color="auto"/>
        <w:left w:val="none" w:sz="0" w:space="0" w:color="auto"/>
        <w:bottom w:val="none" w:sz="0" w:space="0" w:color="auto"/>
        <w:right w:val="none" w:sz="0" w:space="0" w:color="auto"/>
      </w:divBdr>
    </w:div>
    <w:div w:id="641809890">
      <w:bodyDiv w:val="1"/>
      <w:marLeft w:val="0"/>
      <w:marRight w:val="0"/>
      <w:marTop w:val="0"/>
      <w:marBottom w:val="0"/>
      <w:divBdr>
        <w:top w:val="none" w:sz="0" w:space="0" w:color="auto"/>
        <w:left w:val="none" w:sz="0" w:space="0" w:color="auto"/>
        <w:bottom w:val="none" w:sz="0" w:space="0" w:color="auto"/>
        <w:right w:val="none" w:sz="0" w:space="0" w:color="auto"/>
      </w:divBdr>
    </w:div>
    <w:div w:id="656232090">
      <w:bodyDiv w:val="1"/>
      <w:marLeft w:val="0"/>
      <w:marRight w:val="0"/>
      <w:marTop w:val="0"/>
      <w:marBottom w:val="0"/>
      <w:divBdr>
        <w:top w:val="none" w:sz="0" w:space="0" w:color="auto"/>
        <w:left w:val="none" w:sz="0" w:space="0" w:color="auto"/>
        <w:bottom w:val="none" w:sz="0" w:space="0" w:color="auto"/>
        <w:right w:val="none" w:sz="0" w:space="0" w:color="auto"/>
      </w:divBdr>
    </w:div>
    <w:div w:id="681009335">
      <w:bodyDiv w:val="1"/>
      <w:marLeft w:val="0"/>
      <w:marRight w:val="0"/>
      <w:marTop w:val="0"/>
      <w:marBottom w:val="0"/>
      <w:divBdr>
        <w:top w:val="none" w:sz="0" w:space="0" w:color="auto"/>
        <w:left w:val="none" w:sz="0" w:space="0" w:color="auto"/>
        <w:bottom w:val="none" w:sz="0" w:space="0" w:color="auto"/>
        <w:right w:val="none" w:sz="0" w:space="0" w:color="auto"/>
      </w:divBdr>
    </w:div>
    <w:div w:id="686755076">
      <w:bodyDiv w:val="1"/>
      <w:marLeft w:val="0"/>
      <w:marRight w:val="0"/>
      <w:marTop w:val="0"/>
      <w:marBottom w:val="0"/>
      <w:divBdr>
        <w:top w:val="none" w:sz="0" w:space="0" w:color="auto"/>
        <w:left w:val="none" w:sz="0" w:space="0" w:color="auto"/>
        <w:bottom w:val="none" w:sz="0" w:space="0" w:color="auto"/>
        <w:right w:val="none" w:sz="0" w:space="0" w:color="auto"/>
      </w:divBdr>
    </w:div>
    <w:div w:id="691077456">
      <w:bodyDiv w:val="1"/>
      <w:marLeft w:val="0"/>
      <w:marRight w:val="0"/>
      <w:marTop w:val="0"/>
      <w:marBottom w:val="0"/>
      <w:divBdr>
        <w:top w:val="none" w:sz="0" w:space="0" w:color="auto"/>
        <w:left w:val="none" w:sz="0" w:space="0" w:color="auto"/>
        <w:bottom w:val="none" w:sz="0" w:space="0" w:color="auto"/>
        <w:right w:val="none" w:sz="0" w:space="0" w:color="auto"/>
      </w:divBdr>
    </w:div>
    <w:div w:id="692531975">
      <w:bodyDiv w:val="1"/>
      <w:marLeft w:val="0"/>
      <w:marRight w:val="0"/>
      <w:marTop w:val="0"/>
      <w:marBottom w:val="0"/>
      <w:divBdr>
        <w:top w:val="none" w:sz="0" w:space="0" w:color="auto"/>
        <w:left w:val="none" w:sz="0" w:space="0" w:color="auto"/>
        <w:bottom w:val="none" w:sz="0" w:space="0" w:color="auto"/>
        <w:right w:val="none" w:sz="0" w:space="0" w:color="auto"/>
      </w:divBdr>
    </w:div>
    <w:div w:id="702635312">
      <w:bodyDiv w:val="1"/>
      <w:marLeft w:val="0"/>
      <w:marRight w:val="0"/>
      <w:marTop w:val="0"/>
      <w:marBottom w:val="0"/>
      <w:divBdr>
        <w:top w:val="none" w:sz="0" w:space="0" w:color="auto"/>
        <w:left w:val="none" w:sz="0" w:space="0" w:color="auto"/>
        <w:bottom w:val="none" w:sz="0" w:space="0" w:color="auto"/>
        <w:right w:val="none" w:sz="0" w:space="0" w:color="auto"/>
      </w:divBdr>
    </w:div>
    <w:div w:id="743263469">
      <w:bodyDiv w:val="1"/>
      <w:marLeft w:val="0"/>
      <w:marRight w:val="0"/>
      <w:marTop w:val="0"/>
      <w:marBottom w:val="0"/>
      <w:divBdr>
        <w:top w:val="none" w:sz="0" w:space="0" w:color="auto"/>
        <w:left w:val="none" w:sz="0" w:space="0" w:color="auto"/>
        <w:bottom w:val="none" w:sz="0" w:space="0" w:color="auto"/>
        <w:right w:val="none" w:sz="0" w:space="0" w:color="auto"/>
      </w:divBdr>
    </w:div>
    <w:div w:id="752355440">
      <w:bodyDiv w:val="1"/>
      <w:marLeft w:val="0"/>
      <w:marRight w:val="0"/>
      <w:marTop w:val="0"/>
      <w:marBottom w:val="0"/>
      <w:divBdr>
        <w:top w:val="none" w:sz="0" w:space="0" w:color="auto"/>
        <w:left w:val="none" w:sz="0" w:space="0" w:color="auto"/>
        <w:bottom w:val="none" w:sz="0" w:space="0" w:color="auto"/>
        <w:right w:val="none" w:sz="0" w:space="0" w:color="auto"/>
      </w:divBdr>
    </w:div>
    <w:div w:id="768084657">
      <w:bodyDiv w:val="1"/>
      <w:marLeft w:val="0"/>
      <w:marRight w:val="0"/>
      <w:marTop w:val="0"/>
      <w:marBottom w:val="0"/>
      <w:divBdr>
        <w:top w:val="none" w:sz="0" w:space="0" w:color="auto"/>
        <w:left w:val="none" w:sz="0" w:space="0" w:color="auto"/>
        <w:bottom w:val="none" w:sz="0" w:space="0" w:color="auto"/>
        <w:right w:val="none" w:sz="0" w:space="0" w:color="auto"/>
      </w:divBdr>
    </w:div>
    <w:div w:id="773018285">
      <w:bodyDiv w:val="1"/>
      <w:marLeft w:val="0"/>
      <w:marRight w:val="0"/>
      <w:marTop w:val="0"/>
      <w:marBottom w:val="0"/>
      <w:divBdr>
        <w:top w:val="none" w:sz="0" w:space="0" w:color="auto"/>
        <w:left w:val="none" w:sz="0" w:space="0" w:color="auto"/>
        <w:bottom w:val="none" w:sz="0" w:space="0" w:color="auto"/>
        <w:right w:val="none" w:sz="0" w:space="0" w:color="auto"/>
      </w:divBdr>
    </w:div>
    <w:div w:id="776409066">
      <w:bodyDiv w:val="1"/>
      <w:marLeft w:val="0"/>
      <w:marRight w:val="0"/>
      <w:marTop w:val="0"/>
      <w:marBottom w:val="0"/>
      <w:divBdr>
        <w:top w:val="none" w:sz="0" w:space="0" w:color="auto"/>
        <w:left w:val="none" w:sz="0" w:space="0" w:color="auto"/>
        <w:bottom w:val="none" w:sz="0" w:space="0" w:color="auto"/>
        <w:right w:val="none" w:sz="0" w:space="0" w:color="auto"/>
      </w:divBdr>
    </w:div>
    <w:div w:id="828862676">
      <w:bodyDiv w:val="1"/>
      <w:marLeft w:val="0"/>
      <w:marRight w:val="0"/>
      <w:marTop w:val="0"/>
      <w:marBottom w:val="0"/>
      <w:divBdr>
        <w:top w:val="none" w:sz="0" w:space="0" w:color="auto"/>
        <w:left w:val="none" w:sz="0" w:space="0" w:color="auto"/>
        <w:bottom w:val="none" w:sz="0" w:space="0" w:color="auto"/>
        <w:right w:val="none" w:sz="0" w:space="0" w:color="auto"/>
      </w:divBdr>
    </w:div>
    <w:div w:id="854685782">
      <w:bodyDiv w:val="1"/>
      <w:marLeft w:val="0"/>
      <w:marRight w:val="0"/>
      <w:marTop w:val="0"/>
      <w:marBottom w:val="0"/>
      <w:divBdr>
        <w:top w:val="none" w:sz="0" w:space="0" w:color="auto"/>
        <w:left w:val="none" w:sz="0" w:space="0" w:color="auto"/>
        <w:bottom w:val="none" w:sz="0" w:space="0" w:color="auto"/>
        <w:right w:val="none" w:sz="0" w:space="0" w:color="auto"/>
      </w:divBdr>
    </w:div>
    <w:div w:id="863858780">
      <w:bodyDiv w:val="1"/>
      <w:marLeft w:val="0"/>
      <w:marRight w:val="0"/>
      <w:marTop w:val="0"/>
      <w:marBottom w:val="0"/>
      <w:divBdr>
        <w:top w:val="none" w:sz="0" w:space="0" w:color="auto"/>
        <w:left w:val="none" w:sz="0" w:space="0" w:color="auto"/>
        <w:bottom w:val="none" w:sz="0" w:space="0" w:color="auto"/>
        <w:right w:val="none" w:sz="0" w:space="0" w:color="auto"/>
      </w:divBdr>
    </w:div>
    <w:div w:id="879054466">
      <w:bodyDiv w:val="1"/>
      <w:marLeft w:val="0"/>
      <w:marRight w:val="0"/>
      <w:marTop w:val="0"/>
      <w:marBottom w:val="0"/>
      <w:divBdr>
        <w:top w:val="none" w:sz="0" w:space="0" w:color="auto"/>
        <w:left w:val="none" w:sz="0" w:space="0" w:color="auto"/>
        <w:bottom w:val="none" w:sz="0" w:space="0" w:color="auto"/>
        <w:right w:val="none" w:sz="0" w:space="0" w:color="auto"/>
      </w:divBdr>
    </w:div>
    <w:div w:id="910501377">
      <w:bodyDiv w:val="1"/>
      <w:marLeft w:val="0"/>
      <w:marRight w:val="0"/>
      <w:marTop w:val="0"/>
      <w:marBottom w:val="0"/>
      <w:divBdr>
        <w:top w:val="none" w:sz="0" w:space="0" w:color="auto"/>
        <w:left w:val="none" w:sz="0" w:space="0" w:color="auto"/>
        <w:bottom w:val="none" w:sz="0" w:space="0" w:color="auto"/>
        <w:right w:val="none" w:sz="0" w:space="0" w:color="auto"/>
      </w:divBdr>
    </w:div>
    <w:div w:id="911502323">
      <w:bodyDiv w:val="1"/>
      <w:marLeft w:val="0"/>
      <w:marRight w:val="0"/>
      <w:marTop w:val="0"/>
      <w:marBottom w:val="0"/>
      <w:divBdr>
        <w:top w:val="none" w:sz="0" w:space="0" w:color="auto"/>
        <w:left w:val="none" w:sz="0" w:space="0" w:color="auto"/>
        <w:bottom w:val="none" w:sz="0" w:space="0" w:color="auto"/>
        <w:right w:val="none" w:sz="0" w:space="0" w:color="auto"/>
      </w:divBdr>
    </w:div>
    <w:div w:id="916793545">
      <w:bodyDiv w:val="1"/>
      <w:marLeft w:val="0"/>
      <w:marRight w:val="0"/>
      <w:marTop w:val="0"/>
      <w:marBottom w:val="0"/>
      <w:divBdr>
        <w:top w:val="none" w:sz="0" w:space="0" w:color="auto"/>
        <w:left w:val="none" w:sz="0" w:space="0" w:color="auto"/>
        <w:bottom w:val="none" w:sz="0" w:space="0" w:color="auto"/>
        <w:right w:val="none" w:sz="0" w:space="0" w:color="auto"/>
      </w:divBdr>
    </w:div>
    <w:div w:id="938872945">
      <w:bodyDiv w:val="1"/>
      <w:marLeft w:val="0"/>
      <w:marRight w:val="0"/>
      <w:marTop w:val="0"/>
      <w:marBottom w:val="0"/>
      <w:divBdr>
        <w:top w:val="none" w:sz="0" w:space="0" w:color="auto"/>
        <w:left w:val="none" w:sz="0" w:space="0" w:color="auto"/>
        <w:bottom w:val="none" w:sz="0" w:space="0" w:color="auto"/>
        <w:right w:val="none" w:sz="0" w:space="0" w:color="auto"/>
      </w:divBdr>
    </w:div>
    <w:div w:id="946160041">
      <w:bodyDiv w:val="1"/>
      <w:marLeft w:val="0"/>
      <w:marRight w:val="0"/>
      <w:marTop w:val="0"/>
      <w:marBottom w:val="0"/>
      <w:divBdr>
        <w:top w:val="none" w:sz="0" w:space="0" w:color="auto"/>
        <w:left w:val="none" w:sz="0" w:space="0" w:color="auto"/>
        <w:bottom w:val="none" w:sz="0" w:space="0" w:color="auto"/>
        <w:right w:val="none" w:sz="0" w:space="0" w:color="auto"/>
      </w:divBdr>
    </w:div>
    <w:div w:id="1005208860">
      <w:bodyDiv w:val="1"/>
      <w:marLeft w:val="0"/>
      <w:marRight w:val="0"/>
      <w:marTop w:val="0"/>
      <w:marBottom w:val="0"/>
      <w:divBdr>
        <w:top w:val="none" w:sz="0" w:space="0" w:color="auto"/>
        <w:left w:val="none" w:sz="0" w:space="0" w:color="auto"/>
        <w:bottom w:val="none" w:sz="0" w:space="0" w:color="auto"/>
        <w:right w:val="none" w:sz="0" w:space="0" w:color="auto"/>
      </w:divBdr>
    </w:div>
    <w:div w:id="1005400895">
      <w:bodyDiv w:val="1"/>
      <w:marLeft w:val="0"/>
      <w:marRight w:val="0"/>
      <w:marTop w:val="0"/>
      <w:marBottom w:val="0"/>
      <w:divBdr>
        <w:top w:val="none" w:sz="0" w:space="0" w:color="auto"/>
        <w:left w:val="none" w:sz="0" w:space="0" w:color="auto"/>
        <w:bottom w:val="none" w:sz="0" w:space="0" w:color="auto"/>
        <w:right w:val="none" w:sz="0" w:space="0" w:color="auto"/>
      </w:divBdr>
    </w:div>
    <w:div w:id="1019819800">
      <w:bodyDiv w:val="1"/>
      <w:marLeft w:val="0"/>
      <w:marRight w:val="0"/>
      <w:marTop w:val="0"/>
      <w:marBottom w:val="0"/>
      <w:divBdr>
        <w:top w:val="none" w:sz="0" w:space="0" w:color="auto"/>
        <w:left w:val="none" w:sz="0" w:space="0" w:color="auto"/>
        <w:bottom w:val="none" w:sz="0" w:space="0" w:color="auto"/>
        <w:right w:val="none" w:sz="0" w:space="0" w:color="auto"/>
      </w:divBdr>
    </w:div>
    <w:div w:id="1046178663">
      <w:bodyDiv w:val="1"/>
      <w:marLeft w:val="0"/>
      <w:marRight w:val="0"/>
      <w:marTop w:val="0"/>
      <w:marBottom w:val="0"/>
      <w:divBdr>
        <w:top w:val="none" w:sz="0" w:space="0" w:color="auto"/>
        <w:left w:val="none" w:sz="0" w:space="0" w:color="auto"/>
        <w:bottom w:val="none" w:sz="0" w:space="0" w:color="auto"/>
        <w:right w:val="none" w:sz="0" w:space="0" w:color="auto"/>
      </w:divBdr>
    </w:div>
    <w:div w:id="1099064745">
      <w:bodyDiv w:val="1"/>
      <w:marLeft w:val="0"/>
      <w:marRight w:val="0"/>
      <w:marTop w:val="0"/>
      <w:marBottom w:val="0"/>
      <w:divBdr>
        <w:top w:val="none" w:sz="0" w:space="0" w:color="auto"/>
        <w:left w:val="none" w:sz="0" w:space="0" w:color="auto"/>
        <w:bottom w:val="none" w:sz="0" w:space="0" w:color="auto"/>
        <w:right w:val="none" w:sz="0" w:space="0" w:color="auto"/>
      </w:divBdr>
    </w:div>
    <w:div w:id="1149057005">
      <w:bodyDiv w:val="1"/>
      <w:marLeft w:val="0"/>
      <w:marRight w:val="0"/>
      <w:marTop w:val="0"/>
      <w:marBottom w:val="0"/>
      <w:divBdr>
        <w:top w:val="none" w:sz="0" w:space="0" w:color="auto"/>
        <w:left w:val="none" w:sz="0" w:space="0" w:color="auto"/>
        <w:bottom w:val="none" w:sz="0" w:space="0" w:color="auto"/>
        <w:right w:val="none" w:sz="0" w:space="0" w:color="auto"/>
      </w:divBdr>
    </w:div>
    <w:div w:id="1167865898">
      <w:bodyDiv w:val="1"/>
      <w:marLeft w:val="0"/>
      <w:marRight w:val="0"/>
      <w:marTop w:val="0"/>
      <w:marBottom w:val="0"/>
      <w:divBdr>
        <w:top w:val="none" w:sz="0" w:space="0" w:color="auto"/>
        <w:left w:val="none" w:sz="0" w:space="0" w:color="auto"/>
        <w:bottom w:val="none" w:sz="0" w:space="0" w:color="auto"/>
        <w:right w:val="none" w:sz="0" w:space="0" w:color="auto"/>
      </w:divBdr>
    </w:div>
    <w:div w:id="1198199253">
      <w:bodyDiv w:val="1"/>
      <w:marLeft w:val="0"/>
      <w:marRight w:val="0"/>
      <w:marTop w:val="0"/>
      <w:marBottom w:val="0"/>
      <w:divBdr>
        <w:top w:val="none" w:sz="0" w:space="0" w:color="auto"/>
        <w:left w:val="none" w:sz="0" w:space="0" w:color="auto"/>
        <w:bottom w:val="none" w:sz="0" w:space="0" w:color="auto"/>
        <w:right w:val="none" w:sz="0" w:space="0" w:color="auto"/>
      </w:divBdr>
    </w:div>
    <w:div w:id="1223760430">
      <w:bodyDiv w:val="1"/>
      <w:marLeft w:val="0"/>
      <w:marRight w:val="0"/>
      <w:marTop w:val="0"/>
      <w:marBottom w:val="0"/>
      <w:divBdr>
        <w:top w:val="none" w:sz="0" w:space="0" w:color="auto"/>
        <w:left w:val="none" w:sz="0" w:space="0" w:color="auto"/>
        <w:bottom w:val="none" w:sz="0" w:space="0" w:color="auto"/>
        <w:right w:val="none" w:sz="0" w:space="0" w:color="auto"/>
      </w:divBdr>
    </w:div>
    <w:div w:id="1257909723">
      <w:bodyDiv w:val="1"/>
      <w:marLeft w:val="0"/>
      <w:marRight w:val="0"/>
      <w:marTop w:val="0"/>
      <w:marBottom w:val="0"/>
      <w:divBdr>
        <w:top w:val="none" w:sz="0" w:space="0" w:color="auto"/>
        <w:left w:val="none" w:sz="0" w:space="0" w:color="auto"/>
        <w:bottom w:val="none" w:sz="0" w:space="0" w:color="auto"/>
        <w:right w:val="none" w:sz="0" w:space="0" w:color="auto"/>
      </w:divBdr>
    </w:div>
    <w:div w:id="1273855166">
      <w:bodyDiv w:val="1"/>
      <w:marLeft w:val="0"/>
      <w:marRight w:val="0"/>
      <w:marTop w:val="0"/>
      <w:marBottom w:val="0"/>
      <w:divBdr>
        <w:top w:val="none" w:sz="0" w:space="0" w:color="auto"/>
        <w:left w:val="none" w:sz="0" w:space="0" w:color="auto"/>
        <w:bottom w:val="none" w:sz="0" w:space="0" w:color="auto"/>
        <w:right w:val="none" w:sz="0" w:space="0" w:color="auto"/>
      </w:divBdr>
    </w:div>
    <w:div w:id="1311835205">
      <w:bodyDiv w:val="1"/>
      <w:marLeft w:val="0"/>
      <w:marRight w:val="0"/>
      <w:marTop w:val="0"/>
      <w:marBottom w:val="0"/>
      <w:divBdr>
        <w:top w:val="none" w:sz="0" w:space="0" w:color="auto"/>
        <w:left w:val="none" w:sz="0" w:space="0" w:color="auto"/>
        <w:bottom w:val="none" w:sz="0" w:space="0" w:color="auto"/>
        <w:right w:val="none" w:sz="0" w:space="0" w:color="auto"/>
      </w:divBdr>
    </w:div>
    <w:div w:id="1315178454">
      <w:bodyDiv w:val="1"/>
      <w:marLeft w:val="0"/>
      <w:marRight w:val="0"/>
      <w:marTop w:val="0"/>
      <w:marBottom w:val="0"/>
      <w:divBdr>
        <w:top w:val="none" w:sz="0" w:space="0" w:color="auto"/>
        <w:left w:val="none" w:sz="0" w:space="0" w:color="auto"/>
        <w:bottom w:val="none" w:sz="0" w:space="0" w:color="auto"/>
        <w:right w:val="none" w:sz="0" w:space="0" w:color="auto"/>
      </w:divBdr>
    </w:div>
    <w:div w:id="1328441425">
      <w:bodyDiv w:val="1"/>
      <w:marLeft w:val="0"/>
      <w:marRight w:val="0"/>
      <w:marTop w:val="0"/>
      <w:marBottom w:val="0"/>
      <w:divBdr>
        <w:top w:val="none" w:sz="0" w:space="0" w:color="auto"/>
        <w:left w:val="none" w:sz="0" w:space="0" w:color="auto"/>
        <w:bottom w:val="none" w:sz="0" w:space="0" w:color="auto"/>
        <w:right w:val="none" w:sz="0" w:space="0" w:color="auto"/>
      </w:divBdr>
    </w:div>
    <w:div w:id="1332220120">
      <w:bodyDiv w:val="1"/>
      <w:marLeft w:val="0"/>
      <w:marRight w:val="0"/>
      <w:marTop w:val="0"/>
      <w:marBottom w:val="0"/>
      <w:divBdr>
        <w:top w:val="none" w:sz="0" w:space="0" w:color="auto"/>
        <w:left w:val="none" w:sz="0" w:space="0" w:color="auto"/>
        <w:bottom w:val="none" w:sz="0" w:space="0" w:color="auto"/>
        <w:right w:val="none" w:sz="0" w:space="0" w:color="auto"/>
      </w:divBdr>
    </w:div>
    <w:div w:id="1349136374">
      <w:bodyDiv w:val="1"/>
      <w:marLeft w:val="0"/>
      <w:marRight w:val="0"/>
      <w:marTop w:val="0"/>
      <w:marBottom w:val="0"/>
      <w:divBdr>
        <w:top w:val="none" w:sz="0" w:space="0" w:color="auto"/>
        <w:left w:val="none" w:sz="0" w:space="0" w:color="auto"/>
        <w:bottom w:val="none" w:sz="0" w:space="0" w:color="auto"/>
        <w:right w:val="none" w:sz="0" w:space="0" w:color="auto"/>
      </w:divBdr>
    </w:div>
    <w:div w:id="1393383948">
      <w:bodyDiv w:val="1"/>
      <w:marLeft w:val="0"/>
      <w:marRight w:val="0"/>
      <w:marTop w:val="0"/>
      <w:marBottom w:val="0"/>
      <w:divBdr>
        <w:top w:val="none" w:sz="0" w:space="0" w:color="auto"/>
        <w:left w:val="none" w:sz="0" w:space="0" w:color="auto"/>
        <w:bottom w:val="none" w:sz="0" w:space="0" w:color="auto"/>
        <w:right w:val="none" w:sz="0" w:space="0" w:color="auto"/>
      </w:divBdr>
    </w:div>
    <w:div w:id="1413621394">
      <w:bodyDiv w:val="1"/>
      <w:marLeft w:val="0"/>
      <w:marRight w:val="0"/>
      <w:marTop w:val="0"/>
      <w:marBottom w:val="0"/>
      <w:divBdr>
        <w:top w:val="none" w:sz="0" w:space="0" w:color="auto"/>
        <w:left w:val="none" w:sz="0" w:space="0" w:color="auto"/>
        <w:bottom w:val="none" w:sz="0" w:space="0" w:color="auto"/>
        <w:right w:val="none" w:sz="0" w:space="0" w:color="auto"/>
      </w:divBdr>
    </w:div>
    <w:div w:id="1420177955">
      <w:bodyDiv w:val="1"/>
      <w:marLeft w:val="0"/>
      <w:marRight w:val="0"/>
      <w:marTop w:val="0"/>
      <w:marBottom w:val="0"/>
      <w:divBdr>
        <w:top w:val="none" w:sz="0" w:space="0" w:color="auto"/>
        <w:left w:val="none" w:sz="0" w:space="0" w:color="auto"/>
        <w:bottom w:val="none" w:sz="0" w:space="0" w:color="auto"/>
        <w:right w:val="none" w:sz="0" w:space="0" w:color="auto"/>
      </w:divBdr>
    </w:div>
    <w:div w:id="1443069006">
      <w:bodyDiv w:val="1"/>
      <w:marLeft w:val="0"/>
      <w:marRight w:val="0"/>
      <w:marTop w:val="0"/>
      <w:marBottom w:val="0"/>
      <w:divBdr>
        <w:top w:val="none" w:sz="0" w:space="0" w:color="auto"/>
        <w:left w:val="none" w:sz="0" w:space="0" w:color="auto"/>
        <w:bottom w:val="none" w:sz="0" w:space="0" w:color="auto"/>
        <w:right w:val="none" w:sz="0" w:space="0" w:color="auto"/>
      </w:divBdr>
    </w:div>
    <w:div w:id="1461142728">
      <w:bodyDiv w:val="1"/>
      <w:marLeft w:val="0"/>
      <w:marRight w:val="0"/>
      <w:marTop w:val="0"/>
      <w:marBottom w:val="0"/>
      <w:divBdr>
        <w:top w:val="none" w:sz="0" w:space="0" w:color="auto"/>
        <w:left w:val="none" w:sz="0" w:space="0" w:color="auto"/>
        <w:bottom w:val="none" w:sz="0" w:space="0" w:color="auto"/>
        <w:right w:val="none" w:sz="0" w:space="0" w:color="auto"/>
      </w:divBdr>
    </w:div>
    <w:div w:id="1477337355">
      <w:bodyDiv w:val="1"/>
      <w:marLeft w:val="0"/>
      <w:marRight w:val="0"/>
      <w:marTop w:val="0"/>
      <w:marBottom w:val="0"/>
      <w:divBdr>
        <w:top w:val="none" w:sz="0" w:space="0" w:color="auto"/>
        <w:left w:val="none" w:sz="0" w:space="0" w:color="auto"/>
        <w:bottom w:val="none" w:sz="0" w:space="0" w:color="auto"/>
        <w:right w:val="none" w:sz="0" w:space="0" w:color="auto"/>
      </w:divBdr>
    </w:div>
    <w:div w:id="1488862647">
      <w:bodyDiv w:val="1"/>
      <w:marLeft w:val="0"/>
      <w:marRight w:val="0"/>
      <w:marTop w:val="0"/>
      <w:marBottom w:val="0"/>
      <w:divBdr>
        <w:top w:val="none" w:sz="0" w:space="0" w:color="auto"/>
        <w:left w:val="none" w:sz="0" w:space="0" w:color="auto"/>
        <w:bottom w:val="none" w:sz="0" w:space="0" w:color="auto"/>
        <w:right w:val="none" w:sz="0" w:space="0" w:color="auto"/>
      </w:divBdr>
    </w:div>
    <w:div w:id="1527865475">
      <w:bodyDiv w:val="1"/>
      <w:marLeft w:val="0"/>
      <w:marRight w:val="0"/>
      <w:marTop w:val="0"/>
      <w:marBottom w:val="0"/>
      <w:divBdr>
        <w:top w:val="none" w:sz="0" w:space="0" w:color="auto"/>
        <w:left w:val="none" w:sz="0" w:space="0" w:color="auto"/>
        <w:bottom w:val="none" w:sz="0" w:space="0" w:color="auto"/>
        <w:right w:val="none" w:sz="0" w:space="0" w:color="auto"/>
      </w:divBdr>
    </w:div>
    <w:div w:id="1545629740">
      <w:bodyDiv w:val="1"/>
      <w:marLeft w:val="0"/>
      <w:marRight w:val="0"/>
      <w:marTop w:val="0"/>
      <w:marBottom w:val="0"/>
      <w:divBdr>
        <w:top w:val="none" w:sz="0" w:space="0" w:color="auto"/>
        <w:left w:val="none" w:sz="0" w:space="0" w:color="auto"/>
        <w:bottom w:val="none" w:sz="0" w:space="0" w:color="auto"/>
        <w:right w:val="none" w:sz="0" w:space="0" w:color="auto"/>
      </w:divBdr>
    </w:div>
    <w:div w:id="1548832118">
      <w:bodyDiv w:val="1"/>
      <w:marLeft w:val="0"/>
      <w:marRight w:val="0"/>
      <w:marTop w:val="0"/>
      <w:marBottom w:val="0"/>
      <w:divBdr>
        <w:top w:val="none" w:sz="0" w:space="0" w:color="auto"/>
        <w:left w:val="none" w:sz="0" w:space="0" w:color="auto"/>
        <w:bottom w:val="none" w:sz="0" w:space="0" w:color="auto"/>
        <w:right w:val="none" w:sz="0" w:space="0" w:color="auto"/>
      </w:divBdr>
    </w:div>
    <w:div w:id="1596017885">
      <w:bodyDiv w:val="1"/>
      <w:marLeft w:val="0"/>
      <w:marRight w:val="0"/>
      <w:marTop w:val="0"/>
      <w:marBottom w:val="0"/>
      <w:divBdr>
        <w:top w:val="none" w:sz="0" w:space="0" w:color="auto"/>
        <w:left w:val="none" w:sz="0" w:space="0" w:color="auto"/>
        <w:bottom w:val="none" w:sz="0" w:space="0" w:color="auto"/>
        <w:right w:val="none" w:sz="0" w:space="0" w:color="auto"/>
      </w:divBdr>
    </w:div>
    <w:div w:id="1635519418">
      <w:bodyDiv w:val="1"/>
      <w:marLeft w:val="0"/>
      <w:marRight w:val="0"/>
      <w:marTop w:val="0"/>
      <w:marBottom w:val="0"/>
      <w:divBdr>
        <w:top w:val="none" w:sz="0" w:space="0" w:color="auto"/>
        <w:left w:val="none" w:sz="0" w:space="0" w:color="auto"/>
        <w:bottom w:val="none" w:sz="0" w:space="0" w:color="auto"/>
        <w:right w:val="none" w:sz="0" w:space="0" w:color="auto"/>
      </w:divBdr>
    </w:div>
    <w:div w:id="1642148406">
      <w:bodyDiv w:val="1"/>
      <w:marLeft w:val="0"/>
      <w:marRight w:val="0"/>
      <w:marTop w:val="0"/>
      <w:marBottom w:val="0"/>
      <w:divBdr>
        <w:top w:val="none" w:sz="0" w:space="0" w:color="auto"/>
        <w:left w:val="none" w:sz="0" w:space="0" w:color="auto"/>
        <w:bottom w:val="none" w:sz="0" w:space="0" w:color="auto"/>
        <w:right w:val="none" w:sz="0" w:space="0" w:color="auto"/>
      </w:divBdr>
    </w:div>
    <w:div w:id="1672220920">
      <w:bodyDiv w:val="1"/>
      <w:marLeft w:val="0"/>
      <w:marRight w:val="0"/>
      <w:marTop w:val="0"/>
      <w:marBottom w:val="0"/>
      <w:divBdr>
        <w:top w:val="none" w:sz="0" w:space="0" w:color="auto"/>
        <w:left w:val="none" w:sz="0" w:space="0" w:color="auto"/>
        <w:bottom w:val="none" w:sz="0" w:space="0" w:color="auto"/>
        <w:right w:val="none" w:sz="0" w:space="0" w:color="auto"/>
      </w:divBdr>
    </w:div>
    <w:div w:id="1682008794">
      <w:bodyDiv w:val="1"/>
      <w:marLeft w:val="0"/>
      <w:marRight w:val="0"/>
      <w:marTop w:val="0"/>
      <w:marBottom w:val="0"/>
      <w:divBdr>
        <w:top w:val="none" w:sz="0" w:space="0" w:color="auto"/>
        <w:left w:val="none" w:sz="0" w:space="0" w:color="auto"/>
        <w:bottom w:val="none" w:sz="0" w:space="0" w:color="auto"/>
        <w:right w:val="none" w:sz="0" w:space="0" w:color="auto"/>
      </w:divBdr>
    </w:div>
    <w:div w:id="1720743612">
      <w:bodyDiv w:val="1"/>
      <w:marLeft w:val="0"/>
      <w:marRight w:val="0"/>
      <w:marTop w:val="0"/>
      <w:marBottom w:val="0"/>
      <w:divBdr>
        <w:top w:val="none" w:sz="0" w:space="0" w:color="auto"/>
        <w:left w:val="none" w:sz="0" w:space="0" w:color="auto"/>
        <w:bottom w:val="none" w:sz="0" w:space="0" w:color="auto"/>
        <w:right w:val="none" w:sz="0" w:space="0" w:color="auto"/>
      </w:divBdr>
    </w:div>
    <w:div w:id="1740903529">
      <w:bodyDiv w:val="1"/>
      <w:marLeft w:val="0"/>
      <w:marRight w:val="0"/>
      <w:marTop w:val="0"/>
      <w:marBottom w:val="0"/>
      <w:divBdr>
        <w:top w:val="none" w:sz="0" w:space="0" w:color="auto"/>
        <w:left w:val="none" w:sz="0" w:space="0" w:color="auto"/>
        <w:bottom w:val="none" w:sz="0" w:space="0" w:color="auto"/>
        <w:right w:val="none" w:sz="0" w:space="0" w:color="auto"/>
      </w:divBdr>
    </w:div>
    <w:div w:id="1748335550">
      <w:bodyDiv w:val="1"/>
      <w:marLeft w:val="0"/>
      <w:marRight w:val="0"/>
      <w:marTop w:val="0"/>
      <w:marBottom w:val="0"/>
      <w:divBdr>
        <w:top w:val="none" w:sz="0" w:space="0" w:color="auto"/>
        <w:left w:val="none" w:sz="0" w:space="0" w:color="auto"/>
        <w:bottom w:val="none" w:sz="0" w:space="0" w:color="auto"/>
        <w:right w:val="none" w:sz="0" w:space="0" w:color="auto"/>
      </w:divBdr>
    </w:div>
    <w:div w:id="1777826196">
      <w:bodyDiv w:val="1"/>
      <w:marLeft w:val="0"/>
      <w:marRight w:val="0"/>
      <w:marTop w:val="0"/>
      <w:marBottom w:val="0"/>
      <w:divBdr>
        <w:top w:val="none" w:sz="0" w:space="0" w:color="auto"/>
        <w:left w:val="none" w:sz="0" w:space="0" w:color="auto"/>
        <w:bottom w:val="none" w:sz="0" w:space="0" w:color="auto"/>
        <w:right w:val="none" w:sz="0" w:space="0" w:color="auto"/>
      </w:divBdr>
    </w:div>
    <w:div w:id="1781870492">
      <w:bodyDiv w:val="1"/>
      <w:marLeft w:val="0"/>
      <w:marRight w:val="0"/>
      <w:marTop w:val="0"/>
      <w:marBottom w:val="0"/>
      <w:divBdr>
        <w:top w:val="none" w:sz="0" w:space="0" w:color="auto"/>
        <w:left w:val="none" w:sz="0" w:space="0" w:color="auto"/>
        <w:bottom w:val="none" w:sz="0" w:space="0" w:color="auto"/>
        <w:right w:val="none" w:sz="0" w:space="0" w:color="auto"/>
      </w:divBdr>
    </w:div>
    <w:div w:id="1823541300">
      <w:bodyDiv w:val="1"/>
      <w:marLeft w:val="0"/>
      <w:marRight w:val="0"/>
      <w:marTop w:val="0"/>
      <w:marBottom w:val="0"/>
      <w:divBdr>
        <w:top w:val="none" w:sz="0" w:space="0" w:color="auto"/>
        <w:left w:val="none" w:sz="0" w:space="0" w:color="auto"/>
        <w:bottom w:val="none" w:sz="0" w:space="0" w:color="auto"/>
        <w:right w:val="none" w:sz="0" w:space="0" w:color="auto"/>
      </w:divBdr>
    </w:div>
    <w:div w:id="1830094436">
      <w:bodyDiv w:val="1"/>
      <w:marLeft w:val="0"/>
      <w:marRight w:val="0"/>
      <w:marTop w:val="0"/>
      <w:marBottom w:val="0"/>
      <w:divBdr>
        <w:top w:val="none" w:sz="0" w:space="0" w:color="auto"/>
        <w:left w:val="none" w:sz="0" w:space="0" w:color="auto"/>
        <w:bottom w:val="none" w:sz="0" w:space="0" w:color="auto"/>
        <w:right w:val="none" w:sz="0" w:space="0" w:color="auto"/>
      </w:divBdr>
    </w:div>
    <w:div w:id="1838182211">
      <w:bodyDiv w:val="1"/>
      <w:marLeft w:val="0"/>
      <w:marRight w:val="0"/>
      <w:marTop w:val="0"/>
      <w:marBottom w:val="0"/>
      <w:divBdr>
        <w:top w:val="none" w:sz="0" w:space="0" w:color="auto"/>
        <w:left w:val="none" w:sz="0" w:space="0" w:color="auto"/>
        <w:bottom w:val="none" w:sz="0" w:space="0" w:color="auto"/>
        <w:right w:val="none" w:sz="0" w:space="0" w:color="auto"/>
      </w:divBdr>
    </w:div>
    <w:div w:id="1843423812">
      <w:bodyDiv w:val="1"/>
      <w:marLeft w:val="0"/>
      <w:marRight w:val="0"/>
      <w:marTop w:val="0"/>
      <w:marBottom w:val="0"/>
      <w:divBdr>
        <w:top w:val="none" w:sz="0" w:space="0" w:color="auto"/>
        <w:left w:val="none" w:sz="0" w:space="0" w:color="auto"/>
        <w:bottom w:val="none" w:sz="0" w:space="0" w:color="auto"/>
        <w:right w:val="none" w:sz="0" w:space="0" w:color="auto"/>
      </w:divBdr>
    </w:div>
    <w:div w:id="1856268711">
      <w:bodyDiv w:val="1"/>
      <w:marLeft w:val="0"/>
      <w:marRight w:val="0"/>
      <w:marTop w:val="0"/>
      <w:marBottom w:val="0"/>
      <w:divBdr>
        <w:top w:val="none" w:sz="0" w:space="0" w:color="auto"/>
        <w:left w:val="none" w:sz="0" w:space="0" w:color="auto"/>
        <w:bottom w:val="none" w:sz="0" w:space="0" w:color="auto"/>
        <w:right w:val="none" w:sz="0" w:space="0" w:color="auto"/>
      </w:divBdr>
    </w:div>
    <w:div w:id="1862817345">
      <w:bodyDiv w:val="1"/>
      <w:marLeft w:val="0"/>
      <w:marRight w:val="0"/>
      <w:marTop w:val="0"/>
      <w:marBottom w:val="0"/>
      <w:divBdr>
        <w:top w:val="none" w:sz="0" w:space="0" w:color="auto"/>
        <w:left w:val="none" w:sz="0" w:space="0" w:color="auto"/>
        <w:bottom w:val="none" w:sz="0" w:space="0" w:color="auto"/>
        <w:right w:val="none" w:sz="0" w:space="0" w:color="auto"/>
      </w:divBdr>
    </w:div>
    <w:div w:id="1885213261">
      <w:bodyDiv w:val="1"/>
      <w:marLeft w:val="0"/>
      <w:marRight w:val="0"/>
      <w:marTop w:val="0"/>
      <w:marBottom w:val="0"/>
      <w:divBdr>
        <w:top w:val="none" w:sz="0" w:space="0" w:color="auto"/>
        <w:left w:val="none" w:sz="0" w:space="0" w:color="auto"/>
        <w:bottom w:val="none" w:sz="0" w:space="0" w:color="auto"/>
        <w:right w:val="none" w:sz="0" w:space="0" w:color="auto"/>
      </w:divBdr>
    </w:div>
    <w:div w:id="1953703354">
      <w:bodyDiv w:val="1"/>
      <w:marLeft w:val="0"/>
      <w:marRight w:val="0"/>
      <w:marTop w:val="0"/>
      <w:marBottom w:val="0"/>
      <w:divBdr>
        <w:top w:val="none" w:sz="0" w:space="0" w:color="auto"/>
        <w:left w:val="none" w:sz="0" w:space="0" w:color="auto"/>
        <w:bottom w:val="none" w:sz="0" w:space="0" w:color="auto"/>
        <w:right w:val="none" w:sz="0" w:space="0" w:color="auto"/>
      </w:divBdr>
    </w:div>
    <w:div w:id="1953853979">
      <w:bodyDiv w:val="1"/>
      <w:marLeft w:val="0"/>
      <w:marRight w:val="0"/>
      <w:marTop w:val="0"/>
      <w:marBottom w:val="0"/>
      <w:divBdr>
        <w:top w:val="none" w:sz="0" w:space="0" w:color="auto"/>
        <w:left w:val="none" w:sz="0" w:space="0" w:color="auto"/>
        <w:bottom w:val="none" w:sz="0" w:space="0" w:color="auto"/>
        <w:right w:val="none" w:sz="0" w:space="0" w:color="auto"/>
      </w:divBdr>
    </w:div>
    <w:div w:id="1963075359">
      <w:bodyDiv w:val="1"/>
      <w:marLeft w:val="0"/>
      <w:marRight w:val="0"/>
      <w:marTop w:val="0"/>
      <w:marBottom w:val="0"/>
      <w:divBdr>
        <w:top w:val="none" w:sz="0" w:space="0" w:color="auto"/>
        <w:left w:val="none" w:sz="0" w:space="0" w:color="auto"/>
        <w:bottom w:val="none" w:sz="0" w:space="0" w:color="auto"/>
        <w:right w:val="none" w:sz="0" w:space="0" w:color="auto"/>
      </w:divBdr>
    </w:div>
    <w:div w:id="1976987412">
      <w:bodyDiv w:val="1"/>
      <w:marLeft w:val="0"/>
      <w:marRight w:val="0"/>
      <w:marTop w:val="0"/>
      <w:marBottom w:val="0"/>
      <w:divBdr>
        <w:top w:val="none" w:sz="0" w:space="0" w:color="auto"/>
        <w:left w:val="none" w:sz="0" w:space="0" w:color="auto"/>
        <w:bottom w:val="none" w:sz="0" w:space="0" w:color="auto"/>
        <w:right w:val="none" w:sz="0" w:space="0" w:color="auto"/>
      </w:divBdr>
    </w:div>
    <w:div w:id="1987858217">
      <w:bodyDiv w:val="1"/>
      <w:marLeft w:val="0"/>
      <w:marRight w:val="0"/>
      <w:marTop w:val="0"/>
      <w:marBottom w:val="0"/>
      <w:divBdr>
        <w:top w:val="none" w:sz="0" w:space="0" w:color="auto"/>
        <w:left w:val="none" w:sz="0" w:space="0" w:color="auto"/>
        <w:bottom w:val="none" w:sz="0" w:space="0" w:color="auto"/>
        <w:right w:val="none" w:sz="0" w:space="0" w:color="auto"/>
      </w:divBdr>
    </w:div>
    <w:div w:id="2041316532">
      <w:bodyDiv w:val="1"/>
      <w:marLeft w:val="0"/>
      <w:marRight w:val="0"/>
      <w:marTop w:val="0"/>
      <w:marBottom w:val="0"/>
      <w:divBdr>
        <w:top w:val="none" w:sz="0" w:space="0" w:color="auto"/>
        <w:left w:val="none" w:sz="0" w:space="0" w:color="auto"/>
        <w:bottom w:val="none" w:sz="0" w:space="0" w:color="auto"/>
        <w:right w:val="none" w:sz="0" w:space="0" w:color="auto"/>
      </w:divBdr>
    </w:div>
    <w:div w:id="209061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FD335-2B8F-4C95-9554-39F147F96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27</Pages>
  <Words>6620</Words>
  <Characters>37737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MỞ ĐẦU</vt:lpstr>
    </vt:vector>
  </TitlesOfParts>
  <Company>HUT-PCM</Company>
  <LinksUpToDate>false</LinksUpToDate>
  <CharactersWithSpaces>44269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MỞ ĐẦU</dc:title>
  <dc:subject/>
  <dc:creator>Administrator</dc:creator>
  <cp:keywords/>
  <dc:description/>
  <cp:lastModifiedBy>HA HUY TUE</cp:lastModifiedBy>
  <cp:revision>77</cp:revision>
  <cp:lastPrinted>2023-10-12T07:10:00Z</cp:lastPrinted>
  <dcterms:created xsi:type="dcterms:W3CDTF">2023-04-27T06:59:00Z</dcterms:created>
  <dcterms:modified xsi:type="dcterms:W3CDTF">2023-10-16T02:41:00Z</dcterms:modified>
</cp:coreProperties>
</file>